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B05" w:rsidRPr="00DA2508" w:rsidRDefault="00B30B05" w:rsidP="00DF26C8">
      <w:pPr>
        <w:rPr>
          <w:rFonts w:eastAsia="Times New Roman" w:cstheme="minorHAnsi"/>
          <w:sz w:val="22"/>
          <w:szCs w:val="22"/>
          <w:lang w:val="en-US"/>
        </w:rPr>
      </w:pPr>
      <w:r w:rsidRPr="00DA2508">
        <w:rPr>
          <w:rFonts w:eastAsia="Times New Roman" w:cstheme="minorHAnsi"/>
          <w:color w:val="1A1A1A"/>
          <w:sz w:val="22"/>
          <w:szCs w:val="22"/>
          <w:lang w:val="en-US"/>
        </w:rPr>
        <w:t>Hi [first name], </w:t>
      </w:r>
    </w:p>
    <w:p w:rsidR="00B30B05" w:rsidRPr="00DA2508" w:rsidRDefault="00B30B05" w:rsidP="00DF26C8">
      <w:pPr>
        <w:rPr>
          <w:rFonts w:eastAsia="Times New Roman" w:cstheme="minorHAnsi"/>
          <w:sz w:val="22"/>
          <w:szCs w:val="22"/>
          <w:lang w:val="en-US"/>
        </w:rPr>
      </w:pPr>
    </w:p>
    <w:p w:rsidR="00B30B05" w:rsidRPr="00DA2508" w:rsidRDefault="00F258D9" w:rsidP="00DF26C8">
      <w:pPr>
        <w:rPr>
          <w:rFonts w:eastAsia="Times New Roman" w:cstheme="minorHAnsi"/>
          <w:color w:val="1A1A1A"/>
          <w:sz w:val="22"/>
          <w:szCs w:val="22"/>
          <w:lang w:val="en-US"/>
        </w:rPr>
      </w:pPr>
      <w:r w:rsidRPr="00DA2508">
        <w:rPr>
          <w:rFonts w:eastAsia="Times New Roman" w:cstheme="minorHAnsi"/>
          <w:color w:val="1A1A1A"/>
          <w:sz w:val="22"/>
          <w:szCs w:val="22"/>
          <w:lang w:val="en-US"/>
        </w:rPr>
        <w:t>I’ve found an incredibly valuable FinTech compliance training</w:t>
      </w:r>
      <w:r w:rsidR="00B30B05" w:rsidRPr="00DA2508">
        <w:rPr>
          <w:rFonts w:eastAsia="Times New Roman" w:cstheme="minorHAnsi"/>
          <w:color w:val="1A1A1A"/>
          <w:sz w:val="22"/>
          <w:szCs w:val="22"/>
          <w:lang w:val="en-US"/>
        </w:rPr>
        <w:t xml:space="preserve"> called</w:t>
      </w:r>
      <w:r w:rsidRPr="00DA2508">
        <w:rPr>
          <w:rFonts w:eastAsia="Times New Roman" w:cstheme="minorHAnsi"/>
          <w:color w:val="1A1A1A"/>
          <w:sz w:val="22"/>
          <w:szCs w:val="22"/>
          <w:lang w:val="en-US"/>
        </w:rPr>
        <w:t xml:space="preserve"> </w:t>
      </w:r>
      <w:r w:rsidRPr="00DA2508">
        <w:rPr>
          <w:rFonts w:eastAsia="Times New Roman" w:cstheme="minorHAnsi"/>
          <w:b/>
          <w:color w:val="1A1A1A"/>
          <w:sz w:val="22"/>
          <w:szCs w:val="22"/>
          <w:lang w:val="en-US"/>
        </w:rPr>
        <w:t>FinTech Compliance Self-Starter</w:t>
      </w:r>
      <w:r w:rsidR="00B30B05" w:rsidRPr="00DA2508">
        <w:rPr>
          <w:rFonts w:eastAsia="Times New Roman" w:cstheme="minorHAnsi"/>
          <w:color w:val="1A1A1A"/>
          <w:sz w:val="22"/>
          <w:szCs w:val="22"/>
          <w:lang w:val="en-US"/>
        </w:rPr>
        <w:t xml:space="preserve"> that I’m interested in taking. </w:t>
      </w:r>
      <w:r w:rsidR="0091678E" w:rsidRPr="00DA2508">
        <w:rPr>
          <w:rFonts w:eastAsia="Times New Roman" w:cstheme="minorHAnsi"/>
          <w:color w:val="1A1A1A"/>
          <w:sz w:val="22"/>
          <w:szCs w:val="22"/>
          <w:lang w:val="en-US"/>
        </w:rPr>
        <w:t xml:space="preserve">This program </w:t>
      </w:r>
      <w:r w:rsidR="00DF26C8" w:rsidRPr="00DA2508">
        <w:rPr>
          <w:rFonts w:eastAsia="Times New Roman" w:cstheme="minorHAnsi"/>
          <w:color w:val="1A1A1A"/>
          <w:sz w:val="22"/>
          <w:szCs w:val="22"/>
          <w:lang w:val="en-US"/>
        </w:rPr>
        <w:t xml:space="preserve">consists of the following 3 elements: </w:t>
      </w:r>
    </w:p>
    <w:p w:rsidR="007F1AF9" w:rsidRPr="00DA2508" w:rsidRDefault="007F1AF9" w:rsidP="00D45426">
      <w:pPr>
        <w:pStyle w:val="ListParagraph"/>
        <w:jc w:val="both"/>
        <w:rPr>
          <w:sz w:val="22"/>
          <w:szCs w:val="22"/>
        </w:rPr>
      </w:pPr>
      <w:r w:rsidRPr="00DA2508">
        <w:rPr>
          <w:sz w:val="22"/>
          <w:szCs w:val="22"/>
        </w:rPr>
        <w:t>12 Compliance project implementation trainings</w:t>
      </w:r>
      <w:r w:rsidR="006A1C85" w:rsidRPr="00DA2508">
        <w:rPr>
          <w:sz w:val="22"/>
          <w:szCs w:val="22"/>
        </w:rPr>
        <w:t xml:space="preserve"> </w:t>
      </w:r>
    </w:p>
    <w:p w:rsidR="007F1AF9" w:rsidRPr="00DA2508" w:rsidRDefault="007F1AF9" w:rsidP="00D45426">
      <w:pPr>
        <w:pStyle w:val="ListParagraph"/>
        <w:jc w:val="both"/>
        <w:rPr>
          <w:sz w:val="22"/>
          <w:szCs w:val="22"/>
          <w:lang w:val="en-US"/>
        </w:rPr>
      </w:pPr>
      <w:r w:rsidRPr="00DA2508">
        <w:rPr>
          <w:sz w:val="22"/>
          <w:szCs w:val="22"/>
          <w:lang w:val="en-US"/>
        </w:rPr>
        <w:t>Access to over 40+ compliance-related document</w:t>
      </w:r>
      <w:r w:rsidR="00DF26C8" w:rsidRPr="00DA2508">
        <w:rPr>
          <w:sz w:val="22"/>
          <w:szCs w:val="22"/>
          <w:lang w:val="en-US"/>
        </w:rPr>
        <w:t xml:space="preserve"> samples</w:t>
      </w:r>
      <w:r w:rsidRPr="00DA2508">
        <w:rPr>
          <w:sz w:val="22"/>
          <w:szCs w:val="22"/>
          <w:lang w:val="en-US"/>
        </w:rPr>
        <w:t>, checklists,</w:t>
      </w:r>
      <w:r w:rsidR="00DF26C8" w:rsidRPr="00DA2508">
        <w:rPr>
          <w:sz w:val="22"/>
          <w:szCs w:val="22"/>
          <w:lang w:val="en-US"/>
        </w:rPr>
        <w:t xml:space="preserve"> policies and disclosures </w:t>
      </w:r>
      <w:r w:rsidRPr="00DA2508">
        <w:rPr>
          <w:sz w:val="22"/>
          <w:szCs w:val="22"/>
          <w:lang w:val="en-US"/>
        </w:rPr>
        <w:t>templates (continuously updated</w:t>
      </w:r>
      <w:r w:rsidR="00DF26C8" w:rsidRPr="00DA2508">
        <w:rPr>
          <w:sz w:val="22"/>
          <w:szCs w:val="22"/>
          <w:lang w:val="en-US"/>
        </w:rPr>
        <w:t xml:space="preserve"> by the service provider</w:t>
      </w:r>
      <w:r w:rsidRPr="00DA2508">
        <w:rPr>
          <w:sz w:val="22"/>
          <w:szCs w:val="22"/>
          <w:lang w:val="en-US"/>
        </w:rPr>
        <w:t>)</w:t>
      </w:r>
    </w:p>
    <w:p w:rsidR="007F1AF9" w:rsidRPr="00DA2508" w:rsidRDefault="007F1AF9" w:rsidP="00D45426">
      <w:pPr>
        <w:pStyle w:val="ListParagraph"/>
        <w:jc w:val="both"/>
        <w:rPr>
          <w:sz w:val="22"/>
          <w:szCs w:val="22"/>
          <w:lang w:val="en-US"/>
        </w:rPr>
      </w:pPr>
      <w:r w:rsidRPr="00DA2508">
        <w:rPr>
          <w:sz w:val="22"/>
          <w:szCs w:val="22"/>
          <w:lang w:val="en-US"/>
        </w:rPr>
        <w:t>FinTech Startup Compliance Pro Certification (accredited by the CPD agency</w:t>
      </w:r>
      <w:r w:rsidR="006A1C85" w:rsidRPr="00DA2508">
        <w:rPr>
          <w:rStyle w:val="FootnoteReference"/>
          <w:sz w:val="22"/>
          <w:szCs w:val="22"/>
          <w:lang w:val="en-US"/>
        </w:rPr>
        <w:footnoteReference w:id="1"/>
      </w:r>
      <w:r w:rsidR="006A1C85" w:rsidRPr="00DA2508">
        <w:rPr>
          <w:sz w:val="22"/>
          <w:szCs w:val="22"/>
          <w:lang w:val="en-US"/>
        </w:rPr>
        <w:t>)</w:t>
      </w:r>
      <w:r w:rsidRPr="00DA2508">
        <w:rPr>
          <w:sz w:val="22"/>
          <w:szCs w:val="22"/>
          <w:lang w:val="en-US"/>
        </w:rPr>
        <w:t>.</w:t>
      </w:r>
    </w:p>
    <w:p w:rsidR="00B30B05" w:rsidRPr="00DA2508" w:rsidRDefault="00B30B05" w:rsidP="00DF26C8">
      <w:pPr>
        <w:rPr>
          <w:rFonts w:eastAsia="Times New Roman" w:cstheme="minorHAnsi"/>
          <w:sz w:val="22"/>
          <w:szCs w:val="22"/>
          <w:lang w:val="en-US"/>
        </w:rPr>
      </w:pPr>
    </w:p>
    <w:p w:rsidR="00B30B05" w:rsidRPr="00DA2508" w:rsidRDefault="007F1AF9" w:rsidP="00DF26C8">
      <w:pPr>
        <w:rPr>
          <w:rFonts w:eastAsia="Times New Roman" w:cstheme="minorHAnsi"/>
          <w:sz w:val="22"/>
          <w:szCs w:val="22"/>
          <w:lang w:val="en-US"/>
        </w:rPr>
      </w:pPr>
      <w:r w:rsidRPr="00DA2508">
        <w:rPr>
          <w:rFonts w:eastAsia="Times New Roman" w:cstheme="minorHAnsi"/>
          <w:color w:val="1A1A1A"/>
          <w:sz w:val="22"/>
          <w:szCs w:val="22"/>
          <w:lang w:val="en-US"/>
        </w:rPr>
        <w:t>The</w:t>
      </w:r>
      <w:r w:rsidR="00B30B05" w:rsidRPr="00DA2508">
        <w:rPr>
          <w:rFonts w:eastAsia="Times New Roman" w:cstheme="minorHAnsi"/>
          <w:color w:val="1A1A1A"/>
          <w:sz w:val="22"/>
          <w:szCs w:val="22"/>
          <w:lang w:val="en-US"/>
        </w:rPr>
        <w:t xml:space="preserve"> program</w:t>
      </w:r>
      <w:r w:rsidR="0091678E" w:rsidRPr="00DA2508">
        <w:rPr>
          <w:rFonts w:eastAsia="Times New Roman" w:cstheme="minorHAnsi"/>
          <w:color w:val="1A1A1A"/>
          <w:sz w:val="22"/>
          <w:szCs w:val="22"/>
          <w:lang w:val="en-US"/>
        </w:rPr>
        <w:t xml:space="preserve"> is designed and led by Yana Afanasieva, </w:t>
      </w:r>
      <w:r w:rsidR="00C7505F" w:rsidRPr="00DA2508">
        <w:rPr>
          <w:rFonts w:eastAsia="Times New Roman" w:cstheme="minorHAnsi"/>
          <w:color w:val="1A1A1A"/>
          <w:sz w:val="22"/>
          <w:szCs w:val="22"/>
          <w:lang w:val="en-US"/>
        </w:rPr>
        <w:t>the founder of Competitive Compliance</w:t>
      </w:r>
      <w:r w:rsidR="00C7505F" w:rsidRPr="00DA2508">
        <w:rPr>
          <w:rStyle w:val="FootnoteReference"/>
          <w:rFonts w:eastAsia="Times New Roman" w:cstheme="minorHAnsi"/>
          <w:color w:val="1A1A1A"/>
          <w:sz w:val="22"/>
          <w:szCs w:val="22"/>
          <w:lang w:val="en-US"/>
        </w:rPr>
        <w:footnoteReference w:id="2"/>
      </w:r>
      <w:r w:rsidR="00C7505F" w:rsidRPr="00DA2508">
        <w:rPr>
          <w:rFonts w:eastAsia="Times New Roman" w:cstheme="minorHAnsi"/>
          <w:color w:val="1A1A1A"/>
          <w:sz w:val="22"/>
          <w:szCs w:val="22"/>
          <w:lang w:val="en-US"/>
        </w:rPr>
        <w:t xml:space="preserve"> </w:t>
      </w:r>
      <w:r w:rsidR="0091678E" w:rsidRPr="00DA2508">
        <w:rPr>
          <w:rFonts w:eastAsia="Times New Roman" w:cstheme="minorHAnsi"/>
          <w:color w:val="1A1A1A"/>
          <w:sz w:val="22"/>
          <w:szCs w:val="22"/>
          <w:lang w:val="en-US"/>
        </w:rPr>
        <w:t xml:space="preserve">one of the world-leading FinTech Compliance and regulatory experts. </w:t>
      </w:r>
      <w:r w:rsidR="00B30B05" w:rsidRPr="00DA2508">
        <w:rPr>
          <w:rFonts w:eastAsia="Times New Roman" w:cstheme="minorHAnsi"/>
          <w:color w:val="1A1A1A"/>
          <w:sz w:val="22"/>
          <w:szCs w:val="22"/>
          <w:lang w:val="en-US"/>
        </w:rPr>
        <w:t xml:space="preserve">She has over a decade of experience in the fields of </w:t>
      </w:r>
      <w:r w:rsidR="0091678E" w:rsidRPr="00DA2508">
        <w:rPr>
          <w:rFonts w:eastAsia="Times New Roman" w:cstheme="minorHAnsi"/>
          <w:color w:val="1A1A1A"/>
          <w:sz w:val="22"/>
          <w:szCs w:val="22"/>
          <w:lang w:val="en-US"/>
        </w:rPr>
        <w:t xml:space="preserve">FinTech compliance, licensing, implementing regulatory changes, including her roles as the head of regional compliance for PayPal and Amazon </w:t>
      </w:r>
      <w:r w:rsidR="00DF26C8" w:rsidRPr="00DA2508">
        <w:rPr>
          <w:rFonts w:eastAsia="Times New Roman" w:cstheme="minorHAnsi"/>
          <w:color w:val="1A1A1A"/>
          <w:sz w:val="22"/>
          <w:szCs w:val="22"/>
          <w:lang w:val="en-US"/>
        </w:rPr>
        <w:t xml:space="preserve">in Europe, </w:t>
      </w:r>
      <w:r w:rsidR="0091678E" w:rsidRPr="00DA2508">
        <w:rPr>
          <w:rFonts w:eastAsia="Times New Roman" w:cstheme="minorHAnsi"/>
          <w:color w:val="1A1A1A"/>
          <w:sz w:val="22"/>
          <w:szCs w:val="22"/>
          <w:lang w:val="en-US"/>
        </w:rPr>
        <w:t xml:space="preserve">CCO of bitFlyer Europe and Lirium, as well as her role as a regulatory advisor for a number of very prominent FinTech and crypto startups. </w:t>
      </w:r>
    </w:p>
    <w:p w:rsidR="00B30B05" w:rsidRPr="00DA2508" w:rsidRDefault="00B30B05" w:rsidP="00DF26C8">
      <w:pPr>
        <w:rPr>
          <w:rFonts w:eastAsia="Times New Roman" w:cstheme="minorHAnsi"/>
          <w:sz w:val="22"/>
          <w:szCs w:val="22"/>
          <w:lang w:val="en-US"/>
        </w:rPr>
      </w:pPr>
    </w:p>
    <w:p w:rsidR="00B30B05" w:rsidRPr="00DA2508" w:rsidRDefault="00B30B05" w:rsidP="00DF26C8">
      <w:pPr>
        <w:rPr>
          <w:rFonts w:eastAsia="Times New Roman" w:cstheme="minorHAnsi"/>
          <w:sz w:val="22"/>
          <w:szCs w:val="22"/>
          <w:lang w:val="en-US"/>
        </w:rPr>
      </w:pPr>
      <w:r w:rsidRPr="00DA2508">
        <w:rPr>
          <w:rFonts w:eastAsia="Times New Roman" w:cstheme="minorHAnsi"/>
          <w:color w:val="1A1A1A"/>
          <w:sz w:val="22"/>
          <w:szCs w:val="22"/>
          <w:lang w:val="en-US"/>
        </w:rPr>
        <w:t xml:space="preserve">While the </w:t>
      </w:r>
      <w:r w:rsidR="007F1AF9" w:rsidRPr="00DA2508">
        <w:rPr>
          <w:rFonts w:eastAsia="Times New Roman" w:cstheme="minorHAnsi"/>
          <w:color w:val="1A1A1A"/>
          <w:sz w:val="22"/>
          <w:szCs w:val="22"/>
          <w:lang w:val="en-US"/>
        </w:rPr>
        <w:t>program</w:t>
      </w:r>
      <w:r w:rsidRPr="00DA2508">
        <w:rPr>
          <w:rFonts w:eastAsia="Times New Roman" w:cstheme="minorHAnsi"/>
          <w:color w:val="1A1A1A"/>
          <w:sz w:val="22"/>
          <w:szCs w:val="22"/>
          <w:lang w:val="en-US"/>
        </w:rPr>
        <w:t xml:space="preserve"> focuses on </w:t>
      </w:r>
      <w:r w:rsidR="007F1AF9" w:rsidRPr="00DA2508">
        <w:rPr>
          <w:rFonts w:eastAsia="Times New Roman" w:cstheme="minorHAnsi"/>
          <w:color w:val="1A1A1A"/>
          <w:sz w:val="22"/>
          <w:szCs w:val="22"/>
          <w:lang w:val="en-US"/>
        </w:rPr>
        <w:t>specific case studies related to the FinTech, payments and Crypto-assets</w:t>
      </w:r>
      <w:r w:rsidR="009C6A16" w:rsidRPr="00DA2508">
        <w:rPr>
          <w:rFonts w:eastAsia="Times New Roman" w:cstheme="minorHAnsi"/>
          <w:color w:val="1A1A1A"/>
          <w:sz w:val="22"/>
          <w:szCs w:val="22"/>
          <w:lang w:val="en-US"/>
        </w:rPr>
        <w:t xml:space="preserve"> services</w:t>
      </w:r>
      <w:r w:rsidR="007F1AF9" w:rsidRPr="00DA2508">
        <w:rPr>
          <w:rFonts w:eastAsia="Times New Roman" w:cstheme="minorHAnsi"/>
          <w:color w:val="1A1A1A"/>
          <w:sz w:val="22"/>
          <w:szCs w:val="22"/>
          <w:lang w:val="en-US"/>
        </w:rPr>
        <w:t xml:space="preserve">, </w:t>
      </w:r>
      <w:r w:rsidRPr="00DA2508">
        <w:rPr>
          <w:rFonts w:eastAsia="Times New Roman" w:cstheme="minorHAnsi"/>
          <w:color w:val="1A1A1A"/>
          <w:sz w:val="22"/>
          <w:szCs w:val="22"/>
          <w:lang w:val="en-US"/>
        </w:rPr>
        <w:t>the course instructor has assured me this material</w:t>
      </w:r>
      <w:r w:rsidR="009C6A16" w:rsidRPr="00DA2508">
        <w:rPr>
          <w:rFonts w:eastAsia="Times New Roman" w:cstheme="minorHAnsi"/>
          <w:color w:val="1A1A1A"/>
          <w:sz w:val="22"/>
          <w:szCs w:val="22"/>
          <w:lang w:val="en-US"/>
        </w:rPr>
        <w:t xml:space="preserve"> covers</w:t>
      </w:r>
      <w:r w:rsidRPr="00DA2508">
        <w:rPr>
          <w:rFonts w:eastAsia="Times New Roman" w:cstheme="minorHAnsi"/>
          <w:color w:val="1A1A1A"/>
          <w:sz w:val="22"/>
          <w:szCs w:val="22"/>
          <w:lang w:val="en-US"/>
        </w:rPr>
        <w:t xml:space="preserve"> </w:t>
      </w:r>
      <w:r w:rsidR="007F1AF9" w:rsidRPr="00DA2508">
        <w:rPr>
          <w:rFonts w:eastAsia="Times New Roman" w:cstheme="minorHAnsi"/>
          <w:color w:val="1A1A1A"/>
          <w:sz w:val="22"/>
          <w:szCs w:val="22"/>
          <w:lang w:val="en-US"/>
        </w:rPr>
        <w:t>a</w:t>
      </w:r>
      <w:r w:rsidR="009C6A16" w:rsidRPr="00DA2508">
        <w:rPr>
          <w:rFonts w:eastAsia="Times New Roman" w:cstheme="minorHAnsi"/>
          <w:color w:val="1A1A1A"/>
          <w:sz w:val="22"/>
          <w:szCs w:val="22"/>
          <w:lang w:val="en-US"/>
        </w:rPr>
        <w:t xml:space="preserve"> broader and more general areas of financial institutions compliance such as AML, risk management, company governance, consumer protection, privacy, information security, FATCA, outsourcing, etc.</w:t>
      </w:r>
    </w:p>
    <w:p w:rsidR="00B30B05" w:rsidRPr="00DA2508" w:rsidRDefault="00B30B05" w:rsidP="00DF26C8">
      <w:pPr>
        <w:rPr>
          <w:rFonts w:eastAsia="Times New Roman" w:cstheme="minorHAnsi"/>
          <w:sz w:val="22"/>
          <w:szCs w:val="22"/>
          <w:lang w:val="en-US"/>
        </w:rPr>
      </w:pPr>
    </w:p>
    <w:p w:rsidR="00B30B05" w:rsidRPr="00DA2508" w:rsidRDefault="009C6A16" w:rsidP="00DF26C8">
      <w:pPr>
        <w:rPr>
          <w:rFonts w:eastAsia="Times New Roman" w:cstheme="minorHAnsi"/>
          <w:color w:val="000000" w:themeColor="text1"/>
          <w:sz w:val="22"/>
          <w:szCs w:val="22"/>
          <w:lang w:val="en-US"/>
        </w:rPr>
      </w:pPr>
      <w:r w:rsidRPr="00DA2508">
        <w:rPr>
          <w:rFonts w:eastAsia="Times New Roman" w:cstheme="minorHAnsi"/>
          <w:color w:val="1A1A1A"/>
          <w:sz w:val="22"/>
          <w:szCs w:val="22"/>
          <w:lang w:val="en-US"/>
        </w:rPr>
        <w:t>The FinTech Compliance Self-Starter</w:t>
      </w:r>
      <w:r w:rsidR="00B30B05" w:rsidRPr="00DA2508">
        <w:rPr>
          <w:rFonts w:eastAsia="Times New Roman" w:cstheme="minorHAnsi"/>
          <w:color w:val="1A1A1A"/>
          <w:sz w:val="22"/>
          <w:szCs w:val="22"/>
          <w:lang w:val="en-US"/>
        </w:rPr>
        <w:t xml:space="preserve"> will allow me to approach our work with greater </w:t>
      </w:r>
      <w:r w:rsidR="00B2301F" w:rsidRPr="00DA2508">
        <w:rPr>
          <w:rFonts w:eastAsia="Times New Roman" w:cstheme="minorHAnsi"/>
          <w:color w:val="1A1A1A"/>
          <w:sz w:val="22"/>
          <w:szCs w:val="22"/>
          <w:lang w:val="en-US"/>
        </w:rPr>
        <w:t>competence</w:t>
      </w:r>
      <w:r w:rsidR="00B30B05" w:rsidRPr="00DA2508">
        <w:rPr>
          <w:rFonts w:eastAsia="Times New Roman" w:cstheme="minorHAnsi"/>
          <w:color w:val="1A1A1A"/>
          <w:sz w:val="22"/>
          <w:szCs w:val="22"/>
          <w:lang w:val="en-US"/>
        </w:rPr>
        <w:t xml:space="preserve"> as I learn to become a more intentional,</w:t>
      </w:r>
      <w:r w:rsidR="00B2301F" w:rsidRPr="00DA2508">
        <w:rPr>
          <w:rFonts w:eastAsia="Times New Roman" w:cstheme="minorHAnsi"/>
          <w:color w:val="1A1A1A"/>
          <w:sz w:val="22"/>
          <w:szCs w:val="22"/>
          <w:lang w:val="en-US"/>
        </w:rPr>
        <w:t xml:space="preserve"> pragmatic, ROI-focused compliance leader. </w:t>
      </w:r>
      <w:r w:rsidR="00B30B05" w:rsidRPr="00DA2508">
        <w:rPr>
          <w:rFonts w:eastAsia="Times New Roman" w:cstheme="minorHAnsi"/>
          <w:color w:val="1A1A1A"/>
          <w:sz w:val="22"/>
          <w:szCs w:val="22"/>
          <w:lang w:val="en-US"/>
        </w:rPr>
        <w:t>I’m confide</w:t>
      </w:r>
      <w:r w:rsidR="00C7505F" w:rsidRPr="00DA2508">
        <w:rPr>
          <w:rFonts w:eastAsia="Times New Roman" w:cstheme="minorHAnsi"/>
          <w:color w:val="1A1A1A"/>
          <w:sz w:val="22"/>
          <w:szCs w:val="22"/>
          <w:lang w:val="en-US"/>
        </w:rPr>
        <w:t>nt this will help me improve my</w:t>
      </w:r>
      <w:r w:rsidR="00B2301F" w:rsidRPr="00DA2508">
        <w:rPr>
          <w:rFonts w:eastAsia="Times New Roman" w:cstheme="minorHAnsi"/>
          <w:color w:val="1A1A1A"/>
          <w:sz w:val="22"/>
          <w:szCs w:val="22"/>
          <w:lang w:val="en-US"/>
        </w:rPr>
        <w:t xml:space="preserve"> business acumen, prioritization and </w:t>
      </w:r>
      <w:r w:rsidR="00B30B05" w:rsidRPr="00DA2508">
        <w:rPr>
          <w:rFonts w:eastAsia="Times New Roman" w:cstheme="minorHAnsi"/>
          <w:color w:val="1A1A1A"/>
          <w:sz w:val="22"/>
          <w:szCs w:val="22"/>
          <w:lang w:val="en-US"/>
        </w:rPr>
        <w:t>communication skills</w:t>
      </w:r>
      <w:r w:rsidR="00B2301F" w:rsidRPr="00DA2508">
        <w:rPr>
          <w:rFonts w:eastAsia="Times New Roman" w:cstheme="minorHAnsi"/>
          <w:color w:val="1A1A1A"/>
          <w:sz w:val="22"/>
          <w:szCs w:val="22"/>
          <w:lang w:val="en-US"/>
        </w:rPr>
        <w:t xml:space="preserve"> </w:t>
      </w:r>
      <w:r w:rsidR="00B30B05" w:rsidRPr="00DA2508">
        <w:rPr>
          <w:rFonts w:eastAsia="Times New Roman" w:cstheme="minorHAnsi"/>
          <w:color w:val="1A1A1A"/>
          <w:sz w:val="22"/>
          <w:szCs w:val="22"/>
          <w:lang w:val="en-US"/>
        </w:rPr>
        <w:t xml:space="preserve">— all of which I’ll bring back to </w:t>
      </w:r>
      <w:r w:rsidR="00B30B05" w:rsidRPr="00DA2508">
        <w:rPr>
          <w:rFonts w:eastAsia="Times New Roman" w:cstheme="minorHAnsi"/>
          <w:color w:val="000000" w:themeColor="text1"/>
          <w:sz w:val="22"/>
          <w:szCs w:val="22"/>
          <w:lang w:val="en-US"/>
        </w:rPr>
        <w:t xml:space="preserve">the workplace, and which I can apply to our efforts to improve </w:t>
      </w:r>
      <w:r w:rsidR="00B30B05" w:rsidRPr="00DA2508">
        <w:rPr>
          <w:rFonts w:eastAsia="Times New Roman" w:cstheme="minorHAnsi"/>
          <w:iCs/>
          <w:color w:val="000000" w:themeColor="text1"/>
          <w:sz w:val="22"/>
          <w:szCs w:val="22"/>
          <w:highlight w:val="yellow"/>
          <w:lang w:val="en-US"/>
        </w:rPr>
        <w:t>[</w:t>
      </w:r>
      <w:r w:rsidR="00B2301F" w:rsidRPr="00DA2508">
        <w:rPr>
          <w:rFonts w:eastAsia="Times New Roman" w:cstheme="minorHAnsi"/>
          <w:iCs/>
          <w:color w:val="000000" w:themeColor="text1"/>
          <w:sz w:val="22"/>
          <w:szCs w:val="22"/>
          <w:highlight w:val="yellow"/>
          <w:lang w:val="en-US"/>
        </w:rPr>
        <w:t>compliance efficiency, stakeholder engagement, cross-team, collaboration…</w:t>
      </w:r>
      <w:r w:rsidR="00B30B05" w:rsidRPr="00DA2508">
        <w:rPr>
          <w:rFonts w:eastAsia="Times New Roman" w:cstheme="minorHAnsi"/>
          <w:iCs/>
          <w:color w:val="000000" w:themeColor="text1"/>
          <w:sz w:val="22"/>
          <w:szCs w:val="22"/>
          <w:highlight w:val="yellow"/>
          <w:lang w:val="en-US"/>
        </w:rPr>
        <w:t>].</w:t>
      </w:r>
      <w:r w:rsidR="00B30B05" w:rsidRPr="00DA2508">
        <w:rPr>
          <w:rFonts w:eastAsia="Times New Roman" w:cstheme="minorHAnsi"/>
          <w:iCs/>
          <w:color w:val="000000" w:themeColor="text1"/>
          <w:sz w:val="22"/>
          <w:szCs w:val="22"/>
          <w:lang w:val="en-US"/>
        </w:rPr>
        <w:t> </w:t>
      </w:r>
    </w:p>
    <w:p w:rsidR="00B30B05" w:rsidRPr="00DA2508" w:rsidRDefault="00B30B05" w:rsidP="00DF26C8">
      <w:pPr>
        <w:rPr>
          <w:rFonts w:eastAsia="Times New Roman" w:cstheme="minorHAnsi"/>
          <w:color w:val="000000" w:themeColor="text1"/>
          <w:sz w:val="22"/>
          <w:szCs w:val="22"/>
          <w:lang w:val="en-US"/>
        </w:rPr>
      </w:pPr>
    </w:p>
    <w:p w:rsidR="00B30B05" w:rsidRPr="00DA2508" w:rsidRDefault="00B30B05" w:rsidP="00DF26C8">
      <w:pPr>
        <w:rPr>
          <w:rFonts w:eastAsia="Times New Roman" w:cstheme="minorHAnsi"/>
          <w:color w:val="000000" w:themeColor="text1"/>
          <w:sz w:val="22"/>
          <w:szCs w:val="22"/>
          <w:lang w:val="en-US"/>
        </w:rPr>
      </w:pPr>
      <w:r w:rsidRPr="00DA2508">
        <w:rPr>
          <w:rFonts w:eastAsia="Times New Roman" w:cstheme="minorHAnsi"/>
          <w:b/>
          <w:bCs/>
          <w:color w:val="000000" w:themeColor="text1"/>
          <w:sz w:val="22"/>
          <w:szCs w:val="22"/>
          <w:lang w:val="en-US"/>
        </w:rPr>
        <w:t>Details:</w:t>
      </w:r>
    </w:p>
    <w:p w:rsidR="009F7982" w:rsidRPr="00DA2508" w:rsidRDefault="009F7982" w:rsidP="00D45426">
      <w:pPr>
        <w:pStyle w:val="ListParagraph"/>
        <w:jc w:val="both"/>
        <w:rPr>
          <w:color w:val="000000" w:themeColor="text1"/>
          <w:sz w:val="22"/>
          <w:szCs w:val="22"/>
        </w:rPr>
      </w:pPr>
      <w:r w:rsidRPr="00DA2508">
        <w:rPr>
          <w:color w:val="000000" w:themeColor="text1"/>
          <w:sz w:val="22"/>
          <w:szCs w:val="22"/>
        </w:rPr>
        <w:t>All project management workshops and templates are instantly available and can be studied at my own pace.</w:t>
      </w:r>
    </w:p>
    <w:p w:rsidR="009F7982" w:rsidRPr="00DA2508" w:rsidRDefault="009F7982" w:rsidP="00D45426">
      <w:pPr>
        <w:pStyle w:val="ListParagraph"/>
        <w:jc w:val="both"/>
        <w:rPr>
          <w:color w:val="000000" w:themeColor="text1"/>
          <w:sz w:val="22"/>
          <w:szCs w:val="22"/>
          <w:lang w:val="en-US"/>
        </w:rPr>
      </w:pPr>
      <w:r w:rsidRPr="00DA2508">
        <w:rPr>
          <w:color w:val="000000" w:themeColor="text1"/>
          <w:sz w:val="22"/>
          <w:szCs w:val="22"/>
          <w:lang w:val="en-US"/>
        </w:rPr>
        <w:t>The Certifi</w:t>
      </w:r>
      <w:r w:rsidR="00C7505F" w:rsidRPr="00DA2508">
        <w:rPr>
          <w:color w:val="000000" w:themeColor="text1"/>
          <w:sz w:val="22"/>
          <w:szCs w:val="22"/>
          <w:lang w:val="en-US"/>
        </w:rPr>
        <w:t xml:space="preserve">cation-specific workshops will </w:t>
      </w:r>
      <w:r w:rsidRPr="00DA2508">
        <w:rPr>
          <w:color w:val="000000" w:themeColor="text1"/>
          <w:sz w:val="22"/>
          <w:szCs w:val="22"/>
          <w:lang w:val="en-US"/>
        </w:rPr>
        <w:t>run during [DATES] and are expected to require approximately 30 hours of time commitment</w:t>
      </w:r>
      <w:r w:rsidR="00C7505F" w:rsidRPr="00DA2508">
        <w:rPr>
          <w:color w:val="000000" w:themeColor="text1"/>
          <w:sz w:val="22"/>
          <w:szCs w:val="22"/>
          <w:lang w:val="en-US"/>
        </w:rPr>
        <w:t>, including the preparation of the final assignment that will be reviewed graded</w:t>
      </w:r>
      <w:r w:rsidRPr="00DA2508">
        <w:rPr>
          <w:color w:val="000000" w:themeColor="text1"/>
          <w:sz w:val="22"/>
          <w:szCs w:val="22"/>
          <w:lang w:val="en-US"/>
        </w:rPr>
        <w:t>.</w:t>
      </w:r>
    </w:p>
    <w:p w:rsidR="006A1C85" w:rsidRPr="00DA2508" w:rsidRDefault="009F7982" w:rsidP="00D45426">
      <w:pPr>
        <w:pStyle w:val="ListParagraph"/>
        <w:jc w:val="both"/>
        <w:rPr>
          <w:color w:val="000000" w:themeColor="text1"/>
          <w:sz w:val="22"/>
          <w:szCs w:val="22"/>
          <w:highlight w:val="yellow"/>
          <w:lang w:val="en-US"/>
        </w:rPr>
      </w:pPr>
      <w:r w:rsidRPr="00DA2508">
        <w:rPr>
          <w:color w:val="000000" w:themeColor="text1"/>
          <w:sz w:val="22"/>
          <w:szCs w:val="22"/>
          <w:lang w:val="en-US"/>
        </w:rPr>
        <w:t>Investment</w:t>
      </w:r>
      <w:r w:rsidR="00B30B05" w:rsidRPr="00DA2508">
        <w:rPr>
          <w:color w:val="000000" w:themeColor="text1"/>
          <w:sz w:val="22"/>
          <w:szCs w:val="22"/>
          <w:lang w:val="en-US"/>
        </w:rPr>
        <w:t xml:space="preserve">: </w:t>
      </w:r>
      <w:r w:rsidRPr="00DA2508">
        <w:rPr>
          <w:color w:val="000000" w:themeColor="text1"/>
          <w:sz w:val="22"/>
          <w:szCs w:val="22"/>
          <w:lang w:val="en-US"/>
        </w:rPr>
        <w:t xml:space="preserve">  </w:t>
      </w:r>
      <w:r w:rsidRPr="00DA2508">
        <w:rPr>
          <w:color w:val="000000" w:themeColor="text1"/>
          <w:sz w:val="22"/>
          <w:szCs w:val="22"/>
          <w:highlight w:val="yellow"/>
          <w:lang w:val="en-US"/>
        </w:rPr>
        <w:t>EUR XXX</w:t>
      </w:r>
      <w:r w:rsidR="00C7505F" w:rsidRPr="00DA2508">
        <w:rPr>
          <w:color w:val="000000" w:themeColor="text1"/>
          <w:sz w:val="22"/>
          <w:szCs w:val="22"/>
          <w:highlight w:val="yellow"/>
          <w:lang w:val="en-US"/>
        </w:rPr>
        <w:t xml:space="preserve"> (add the details of the payment option of your choice)</w:t>
      </w:r>
    </w:p>
    <w:p w:rsidR="00DA2508" w:rsidRDefault="00A02F09" w:rsidP="00DA2508">
      <w:pPr>
        <w:rPr>
          <w:b/>
          <w:color w:val="000000" w:themeColor="text1"/>
          <w:sz w:val="22"/>
          <w:szCs w:val="22"/>
          <w:lang w:val="en-US"/>
        </w:rPr>
      </w:pPr>
      <w:r w:rsidRPr="00DA2508">
        <w:rPr>
          <w:b/>
          <w:color w:val="000000" w:themeColor="text1"/>
          <w:sz w:val="22"/>
          <w:szCs w:val="22"/>
          <w:lang w:val="en-US"/>
        </w:rPr>
        <w:t xml:space="preserve">ROI ANALYSIS </w:t>
      </w:r>
    </w:p>
    <w:p w:rsidR="00DA2508" w:rsidRDefault="00DA2508" w:rsidP="00DA2508">
      <w:pPr>
        <w:rPr>
          <w:b/>
          <w:color w:val="000000" w:themeColor="text1"/>
          <w:sz w:val="22"/>
          <w:szCs w:val="22"/>
          <w:lang w:val="en-US"/>
        </w:rPr>
      </w:pPr>
    </w:p>
    <w:p w:rsidR="00A02F09" w:rsidRPr="00A02F09" w:rsidRDefault="00A02F09" w:rsidP="00DA2508">
      <w:pPr>
        <w:rPr>
          <w:b/>
          <w:color w:val="000000" w:themeColor="text1"/>
          <w:sz w:val="22"/>
          <w:szCs w:val="22"/>
          <w:lang w:val="en-US"/>
        </w:rPr>
      </w:pPr>
      <w:r w:rsidRPr="00A02F09">
        <w:rPr>
          <w:rFonts w:eastAsia="Times New Roman" w:cs="Arial"/>
          <w:color w:val="000000" w:themeColor="text1"/>
          <w:sz w:val="22"/>
          <w:szCs w:val="22"/>
          <w:lang w:val="en-US"/>
        </w:rPr>
        <w:t>This is an important investment, and the great news, it has an </w:t>
      </w:r>
      <w:r w:rsidRPr="00A02F09">
        <w:rPr>
          <w:rFonts w:eastAsia="Times New Roman" w:cs="Arial"/>
          <w:b/>
          <w:bCs/>
          <w:color w:val="000000" w:themeColor="text1"/>
          <w:sz w:val="22"/>
          <w:szCs w:val="22"/>
          <w:lang w:val="en-US"/>
        </w:rPr>
        <w:t>ROI of over</w:t>
      </w:r>
      <w:r w:rsidRPr="00DA2508">
        <w:rPr>
          <w:rFonts w:eastAsia="Times New Roman" w:cs="Arial"/>
          <w:b/>
          <w:bCs/>
          <w:color w:val="000000" w:themeColor="text1"/>
          <w:sz w:val="22"/>
          <w:szCs w:val="22"/>
          <w:lang w:val="en-US"/>
        </w:rPr>
        <w:t xml:space="preserve"> 3000 % over the next 12 months</w:t>
      </w:r>
    </w:p>
    <w:p w:rsidR="00A02F09" w:rsidRPr="00A02F09" w:rsidRDefault="00A02F09" w:rsidP="00A02F09">
      <w:pPr>
        <w:numPr>
          <w:ilvl w:val="0"/>
          <w:numId w:val="6"/>
        </w:numPr>
        <w:spacing w:before="100" w:beforeAutospacing="1" w:after="120"/>
        <w:rPr>
          <w:rFonts w:eastAsia="Times New Roman" w:cs="Arial"/>
          <w:color w:val="000000" w:themeColor="text1"/>
          <w:sz w:val="22"/>
          <w:szCs w:val="22"/>
          <w:lang w:val="en-US"/>
        </w:rPr>
      </w:pPr>
      <w:r w:rsidRPr="00DA2508">
        <w:rPr>
          <w:rFonts w:eastAsia="Times New Roman" w:cs="Arial"/>
          <w:color w:val="000000" w:themeColor="text1"/>
          <w:sz w:val="22"/>
          <w:szCs w:val="22"/>
          <w:lang w:val="en-US"/>
        </w:rPr>
        <w:t>By u</w:t>
      </w:r>
      <w:r w:rsidR="00DA2508" w:rsidRPr="00DA2508">
        <w:rPr>
          <w:rFonts w:eastAsia="Times New Roman" w:cs="Arial"/>
          <w:color w:val="000000" w:themeColor="text1"/>
          <w:sz w:val="22"/>
          <w:szCs w:val="22"/>
          <w:lang w:val="en-US"/>
        </w:rPr>
        <w:t>sing this training</w:t>
      </w:r>
      <w:r w:rsidRPr="00DA2508">
        <w:rPr>
          <w:rFonts w:eastAsia="Times New Roman" w:cs="Arial"/>
          <w:color w:val="000000" w:themeColor="text1"/>
          <w:sz w:val="22"/>
          <w:szCs w:val="22"/>
          <w:lang w:val="en-US"/>
        </w:rPr>
        <w:t>, we</w:t>
      </w:r>
      <w:r w:rsidRPr="00A02F09">
        <w:rPr>
          <w:rFonts w:eastAsia="Times New Roman" w:cs="Arial"/>
          <w:color w:val="000000" w:themeColor="text1"/>
          <w:sz w:val="22"/>
          <w:szCs w:val="22"/>
          <w:lang w:val="en-US"/>
        </w:rPr>
        <w:t xml:space="preserve"> can reduce </w:t>
      </w:r>
      <w:r w:rsidRPr="00DA2508">
        <w:rPr>
          <w:rFonts w:eastAsia="Times New Roman" w:cs="Arial"/>
          <w:color w:val="000000" w:themeColor="text1"/>
          <w:sz w:val="22"/>
          <w:szCs w:val="22"/>
          <w:lang w:val="en-US"/>
        </w:rPr>
        <w:t xml:space="preserve">the </w:t>
      </w:r>
      <w:r w:rsidRPr="00A02F09">
        <w:rPr>
          <w:rFonts w:eastAsia="Times New Roman" w:cs="Arial"/>
          <w:color w:val="000000" w:themeColor="text1"/>
          <w:sz w:val="22"/>
          <w:szCs w:val="22"/>
          <w:lang w:val="en-US"/>
        </w:rPr>
        <w:t>annual audit costs and audit issues remediation costs by </w:t>
      </w:r>
      <w:r w:rsidRPr="00A02F09">
        <w:rPr>
          <w:rFonts w:eastAsia="Times New Roman" w:cs="Arial"/>
          <w:b/>
          <w:bCs/>
          <w:color w:val="000000" w:themeColor="text1"/>
          <w:sz w:val="22"/>
          <w:szCs w:val="22"/>
          <w:lang w:val="en-US"/>
        </w:rPr>
        <w:t>25,000 EUR</w:t>
      </w:r>
      <w:r w:rsidRPr="00A02F09">
        <w:rPr>
          <w:rFonts w:eastAsia="Times New Roman" w:cs="Arial"/>
          <w:color w:val="000000" w:themeColor="text1"/>
          <w:sz w:val="22"/>
          <w:szCs w:val="22"/>
          <w:lang w:val="en-US"/>
        </w:rPr>
        <w:t> </w:t>
      </w:r>
      <w:r w:rsidRPr="00DA2508">
        <w:rPr>
          <w:rFonts w:eastAsia="Times New Roman" w:cs="Arial"/>
          <w:color w:val="000000" w:themeColor="text1"/>
          <w:sz w:val="22"/>
          <w:szCs w:val="22"/>
          <w:lang w:val="en-US"/>
        </w:rPr>
        <w:t>once</w:t>
      </w:r>
      <w:r w:rsidRPr="00A02F09">
        <w:rPr>
          <w:rFonts w:eastAsia="Times New Roman" w:cs="Arial"/>
          <w:color w:val="000000" w:themeColor="text1"/>
          <w:sz w:val="22"/>
          <w:szCs w:val="22"/>
          <w:lang w:val="en-US"/>
        </w:rPr>
        <w:t xml:space="preserve"> </w:t>
      </w:r>
      <w:r w:rsidRPr="00DA2508">
        <w:rPr>
          <w:rFonts w:eastAsia="Times New Roman" w:cs="Arial"/>
          <w:color w:val="000000" w:themeColor="text1"/>
          <w:sz w:val="22"/>
          <w:szCs w:val="22"/>
          <w:lang w:val="en-US"/>
        </w:rPr>
        <w:t>our documentation is solid and well-</w:t>
      </w:r>
      <w:r w:rsidRPr="00A02F09">
        <w:rPr>
          <w:rFonts w:eastAsia="Times New Roman" w:cs="Arial"/>
          <w:color w:val="000000" w:themeColor="text1"/>
          <w:sz w:val="22"/>
          <w:szCs w:val="22"/>
          <w:lang w:val="en-US"/>
        </w:rPr>
        <w:lastRenderedPageBreak/>
        <w:t>structured</w:t>
      </w:r>
      <w:r w:rsidRPr="00DA2508">
        <w:rPr>
          <w:rFonts w:eastAsia="Times New Roman" w:cs="Arial"/>
          <w:color w:val="000000" w:themeColor="text1"/>
          <w:sz w:val="22"/>
          <w:szCs w:val="22"/>
          <w:lang w:val="en-US"/>
        </w:rPr>
        <w:t>, and once we i</w:t>
      </w:r>
      <w:r w:rsidR="00DA2508" w:rsidRPr="00DA2508">
        <w:rPr>
          <w:rFonts w:eastAsia="Times New Roman" w:cs="Arial"/>
          <w:color w:val="000000" w:themeColor="text1"/>
          <w:sz w:val="22"/>
          <w:szCs w:val="22"/>
          <w:lang w:val="en-US"/>
        </w:rPr>
        <w:t>mplement the recommendations on</w:t>
      </w:r>
      <w:r w:rsidRPr="00A02F09">
        <w:rPr>
          <w:rFonts w:eastAsia="Times New Roman" w:cs="Arial"/>
          <w:color w:val="000000" w:themeColor="text1"/>
          <w:sz w:val="22"/>
          <w:szCs w:val="22"/>
          <w:lang w:val="en-US"/>
        </w:rPr>
        <w:t xml:space="preserve"> how to handle the audit </w:t>
      </w:r>
      <w:r w:rsidR="00DA2508" w:rsidRPr="00DA2508">
        <w:rPr>
          <w:rFonts w:eastAsia="Times New Roman" w:cs="Arial"/>
          <w:color w:val="000000" w:themeColor="text1"/>
          <w:sz w:val="22"/>
          <w:szCs w:val="22"/>
          <w:lang w:val="en-US"/>
        </w:rPr>
        <w:t xml:space="preserve">as “business as usual” </w:t>
      </w:r>
      <w:r w:rsidRPr="00A02F09">
        <w:rPr>
          <w:rFonts w:eastAsia="Times New Roman" w:cs="Arial"/>
          <w:color w:val="000000" w:themeColor="text1"/>
          <w:sz w:val="22"/>
          <w:szCs w:val="22"/>
          <w:lang w:val="en-US"/>
        </w:rPr>
        <w:t xml:space="preserve">as </w:t>
      </w:r>
      <w:r w:rsidR="00DA2508" w:rsidRPr="00DA2508">
        <w:rPr>
          <w:rFonts w:eastAsia="Times New Roman" w:cs="Arial"/>
          <w:color w:val="000000" w:themeColor="text1"/>
          <w:sz w:val="22"/>
          <w:szCs w:val="22"/>
          <w:lang w:val="en-US"/>
        </w:rPr>
        <w:t xml:space="preserve">opposed to an </w:t>
      </w:r>
      <w:r w:rsidRPr="00A02F09">
        <w:rPr>
          <w:rFonts w:eastAsia="Times New Roman" w:cs="Arial"/>
          <w:color w:val="000000" w:themeColor="text1"/>
          <w:sz w:val="22"/>
          <w:szCs w:val="22"/>
          <w:lang w:val="en-US"/>
        </w:rPr>
        <w:t>emergency.</w:t>
      </w:r>
    </w:p>
    <w:p w:rsidR="00A02F09" w:rsidRPr="00A02F09" w:rsidRDefault="00DA2508" w:rsidP="00A02F09">
      <w:pPr>
        <w:numPr>
          <w:ilvl w:val="0"/>
          <w:numId w:val="6"/>
        </w:numPr>
        <w:spacing w:before="100" w:beforeAutospacing="1" w:after="120"/>
        <w:rPr>
          <w:rFonts w:eastAsia="Times New Roman" w:cs="Arial"/>
          <w:color w:val="000000" w:themeColor="text1"/>
          <w:sz w:val="22"/>
          <w:szCs w:val="22"/>
          <w:lang w:val="en-US"/>
        </w:rPr>
      </w:pPr>
      <w:r w:rsidRPr="00DA2508">
        <w:rPr>
          <w:rFonts w:eastAsia="Times New Roman" w:cs="Arial"/>
          <w:color w:val="000000" w:themeColor="text1"/>
          <w:sz w:val="22"/>
          <w:szCs w:val="22"/>
          <w:lang w:val="en-US"/>
        </w:rPr>
        <w:t xml:space="preserve">We will be accelerating </w:t>
      </w:r>
      <w:r w:rsidR="00A02F09" w:rsidRPr="00A02F09">
        <w:rPr>
          <w:rFonts w:eastAsia="Times New Roman" w:cs="Arial"/>
          <w:color w:val="000000" w:themeColor="text1"/>
          <w:sz w:val="22"/>
          <w:szCs w:val="22"/>
          <w:lang w:val="en-US"/>
        </w:rPr>
        <w:t xml:space="preserve">time to market by receiving faster sign-offs or approvals from partners or regulators, and avoid over-investing too soon into hiring and marketing, which can save </w:t>
      </w:r>
      <w:r w:rsidRPr="00DA2508">
        <w:rPr>
          <w:rFonts w:eastAsia="Times New Roman" w:cs="Arial"/>
          <w:color w:val="000000" w:themeColor="text1"/>
          <w:sz w:val="22"/>
          <w:szCs w:val="22"/>
          <w:lang w:val="en-US"/>
        </w:rPr>
        <w:t>us</w:t>
      </w:r>
      <w:r w:rsidR="00A02F09" w:rsidRPr="00A02F09">
        <w:rPr>
          <w:rFonts w:eastAsia="Times New Roman" w:cs="Arial"/>
          <w:color w:val="000000" w:themeColor="text1"/>
          <w:sz w:val="22"/>
          <w:szCs w:val="22"/>
          <w:lang w:val="en-US"/>
        </w:rPr>
        <w:t xml:space="preserve"> at least </w:t>
      </w:r>
      <w:r w:rsidR="00A02F09" w:rsidRPr="00A02F09">
        <w:rPr>
          <w:rFonts w:eastAsia="Times New Roman" w:cs="Arial"/>
          <w:b/>
          <w:bCs/>
          <w:color w:val="000000" w:themeColor="text1"/>
          <w:sz w:val="22"/>
          <w:szCs w:val="22"/>
          <w:lang w:val="en-US"/>
        </w:rPr>
        <w:t>25,000 EUR</w:t>
      </w:r>
      <w:r w:rsidRPr="00DA2508">
        <w:rPr>
          <w:rFonts w:eastAsia="Times New Roman" w:cs="Arial"/>
          <w:color w:val="000000" w:themeColor="text1"/>
          <w:sz w:val="22"/>
          <w:szCs w:val="22"/>
          <w:lang w:val="en-US"/>
        </w:rPr>
        <w:t> a month.</w:t>
      </w:r>
    </w:p>
    <w:p w:rsidR="00A02F09" w:rsidRPr="00A02F09" w:rsidRDefault="00DA2508" w:rsidP="00A02F09">
      <w:pPr>
        <w:numPr>
          <w:ilvl w:val="0"/>
          <w:numId w:val="6"/>
        </w:numPr>
        <w:spacing w:before="100" w:beforeAutospacing="1" w:after="120"/>
        <w:rPr>
          <w:rFonts w:eastAsia="Times New Roman" w:cs="Arial"/>
          <w:color w:val="000000" w:themeColor="text1"/>
          <w:sz w:val="22"/>
          <w:szCs w:val="22"/>
          <w:lang w:val="en-US"/>
        </w:rPr>
      </w:pPr>
      <w:r w:rsidRPr="00DA2508">
        <w:rPr>
          <w:rFonts w:eastAsia="Times New Roman" w:cs="Arial"/>
          <w:color w:val="000000" w:themeColor="text1"/>
          <w:sz w:val="22"/>
          <w:szCs w:val="22"/>
          <w:lang w:val="en-US"/>
        </w:rPr>
        <w:t>We</w:t>
      </w:r>
      <w:r w:rsidR="00A02F09" w:rsidRPr="00A02F09">
        <w:rPr>
          <w:rFonts w:eastAsia="Times New Roman" w:cs="Arial"/>
          <w:color w:val="000000" w:themeColor="text1"/>
          <w:sz w:val="22"/>
          <w:szCs w:val="22"/>
          <w:lang w:val="en-US"/>
        </w:rPr>
        <w:t xml:space="preserve"> won't need to pay for additional consultancy, training, or seminars/webinars: another</w:t>
      </w:r>
      <w:r w:rsidRPr="00DA2508">
        <w:rPr>
          <w:rFonts w:eastAsia="Times New Roman" w:cs="Arial"/>
          <w:color w:val="000000" w:themeColor="text1"/>
          <w:sz w:val="22"/>
          <w:szCs w:val="22"/>
          <w:lang w:val="en-US"/>
        </w:rPr>
        <w:t xml:space="preserve"> possible</w:t>
      </w:r>
      <w:r w:rsidR="00A02F09" w:rsidRPr="00A02F09">
        <w:rPr>
          <w:rFonts w:eastAsia="Times New Roman" w:cs="Arial"/>
          <w:color w:val="000000" w:themeColor="text1"/>
          <w:sz w:val="22"/>
          <w:szCs w:val="22"/>
          <w:lang w:val="en-US"/>
        </w:rPr>
        <w:t> </w:t>
      </w:r>
      <w:r w:rsidR="00A02F09" w:rsidRPr="00A02F09">
        <w:rPr>
          <w:rFonts w:eastAsia="Times New Roman" w:cs="Arial"/>
          <w:b/>
          <w:bCs/>
          <w:color w:val="000000" w:themeColor="text1"/>
          <w:sz w:val="22"/>
          <w:szCs w:val="22"/>
          <w:lang w:val="en-US"/>
        </w:rPr>
        <w:t>20,000 EUR</w:t>
      </w:r>
      <w:r w:rsidRPr="00DA2508">
        <w:rPr>
          <w:rFonts w:eastAsia="Times New Roman" w:cs="Arial"/>
          <w:color w:val="000000" w:themeColor="text1"/>
          <w:sz w:val="22"/>
          <w:szCs w:val="22"/>
          <w:lang w:val="en-US"/>
        </w:rPr>
        <w:t> a year savings opportunity.</w:t>
      </w:r>
    </w:p>
    <w:p w:rsidR="00A02F09" w:rsidRPr="00A02F09" w:rsidRDefault="00DA2508" w:rsidP="00A02F09">
      <w:pPr>
        <w:numPr>
          <w:ilvl w:val="0"/>
          <w:numId w:val="6"/>
        </w:numPr>
        <w:spacing w:before="100" w:beforeAutospacing="1" w:after="120"/>
        <w:rPr>
          <w:rFonts w:eastAsia="Times New Roman" w:cs="Arial"/>
          <w:color w:val="000000" w:themeColor="text1"/>
          <w:sz w:val="22"/>
          <w:szCs w:val="22"/>
          <w:lang w:val="en-US"/>
        </w:rPr>
      </w:pPr>
      <w:r w:rsidRPr="00DA2508">
        <w:rPr>
          <w:rFonts w:eastAsia="Times New Roman" w:cs="Arial"/>
          <w:color w:val="000000" w:themeColor="text1"/>
          <w:sz w:val="22"/>
          <w:szCs w:val="22"/>
          <w:lang w:val="en-US"/>
        </w:rPr>
        <w:t>We</w:t>
      </w:r>
      <w:r w:rsidR="00A02F09" w:rsidRPr="00A02F09">
        <w:rPr>
          <w:rFonts w:eastAsia="Times New Roman" w:cs="Arial"/>
          <w:color w:val="000000" w:themeColor="text1"/>
          <w:sz w:val="22"/>
          <w:szCs w:val="22"/>
          <w:lang w:val="en-US"/>
        </w:rPr>
        <w:t xml:space="preserve"> will not be overpaying for compl</w:t>
      </w:r>
      <w:r w:rsidRPr="00DA2508">
        <w:rPr>
          <w:rFonts w:eastAsia="Times New Roman" w:cs="Arial"/>
          <w:color w:val="000000" w:themeColor="text1"/>
          <w:sz w:val="22"/>
          <w:szCs w:val="22"/>
          <w:lang w:val="en-US"/>
        </w:rPr>
        <w:t xml:space="preserve">iance tools </w:t>
      </w:r>
      <w:proofErr w:type="gramStart"/>
      <w:r w:rsidRPr="00DA2508">
        <w:rPr>
          <w:rFonts w:eastAsia="Times New Roman" w:cs="Arial"/>
          <w:color w:val="000000" w:themeColor="text1"/>
          <w:sz w:val="22"/>
          <w:szCs w:val="22"/>
          <w:lang w:val="en-US"/>
        </w:rPr>
        <w:t xml:space="preserve">and </w:t>
      </w:r>
      <w:r w:rsidR="00A02F09" w:rsidRPr="00A02F09">
        <w:rPr>
          <w:rFonts w:eastAsia="Times New Roman" w:cs="Arial"/>
          <w:color w:val="000000" w:themeColor="text1"/>
          <w:sz w:val="22"/>
          <w:szCs w:val="22"/>
          <w:lang w:val="en-US"/>
        </w:rPr>
        <w:t xml:space="preserve"> features</w:t>
      </w:r>
      <w:proofErr w:type="gramEnd"/>
      <w:r w:rsidR="00A02F09" w:rsidRPr="00A02F09">
        <w:rPr>
          <w:rFonts w:eastAsia="Times New Roman" w:cs="Arial"/>
          <w:color w:val="000000" w:themeColor="text1"/>
          <w:sz w:val="22"/>
          <w:szCs w:val="22"/>
          <w:lang w:val="en-US"/>
        </w:rPr>
        <w:t xml:space="preserve"> within these tools that </w:t>
      </w:r>
      <w:r w:rsidRPr="00DA2508">
        <w:rPr>
          <w:rFonts w:eastAsia="Times New Roman" w:cs="Arial"/>
          <w:color w:val="000000" w:themeColor="text1"/>
          <w:sz w:val="22"/>
          <w:szCs w:val="22"/>
          <w:lang w:val="en-US"/>
        </w:rPr>
        <w:t>we</w:t>
      </w:r>
      <w:r w:rsidR="00A02F09" w:rsidRPr="00A02F09">
        <w:rPr>
          <w:rFonts w:eastAsia="Times New Roman" w:cs="Arial"/>
          <w:color w:val="000000" w:themeColor="text1"/>
          <w:sz w:val="22"/>
          <w:szCs w:val="22"/>
          <w:lang w:val="en-US"/>
        </w:rPr>
        <w:t xml:space="preserve"> don't need - it can generate additional savings of up to </w:t>
      </w:r>
      <w:r w:rsidR="00A02F09" w:rsidRPr="00A02F09">
        <w:rPr>
          <w:rFonts w:eastAsia="Times New Roman" w:cs="Arial"/>
          <w:b/>
          <w:bCs/>
          <w:color w:val="000000" w:themeColor="text1"/>
          <w:sz w:val="22"/>
          <w:szCs w:val="22"/>
          <w:lang w:val="en-US"/>
        </w:rPr>
        <w:t>50,000 EUR</w:t>
      </w:r>
      <w:r w:rsidR="00A02F09" w:rsidRPr="00A02F09">
        <w:rPr>
          <w:rFonts w:eastAsia="Times New Roman" w:cs="Arial"/>
          <w:color w:val="000000" w:themeColor="text1"/>
          <w:sz w:val="22"/>
          <w:szCs w:val="22"/>
          <w:lang w:val="en-US"/>
        </w:rPr>
        <w:t xml:space="preserve"> a year and will also save </w:t>
      </w:r>
      <w:r w:rsidRPr="00DA2508">
        <w:rPr>
          <w:rFonts w:eastAsia="Times New Roman" w:cs="Arial"/>
          <w:color w:val="000000" w:themeColor="text1"/>
          <w:sz w:val="22"/>
          <w:szCs w:val="22"/>
          <w:lang w:val="en-US"/>
        </w:rPr>
        <w:t>us</w:t>
      </w:r>
      <w:r w:rsidR="00A02F09" w:rsidRPr="00A02F09">
        <w:rPr>
          <w:rFonts w:eastAsia="Times New Roman" w:cs="Arial"/>
          <w:color w:val="000000" w:themeColor="text1"/>
          <w:sz w:val="22"/>
          <w:szCs w:val="22"/>
          <w:lang w:val="en-US"/>
        </w:rPr>
        <w:t xml:space="preserve"> a payroll of at least one additional analyst.</w:t>
      </w:r>
    </w:p>
    <w:p w:rsidR="00A02F09" w:rsidRPr="00A02F09" w:rsidRDefault="00A02F09" w:rsidP="00A02F09">
      <w:pPr>
        <w:spacing w:before="100" w:beforeAutospacing="1" w:after="100" w:afterAutospacing="1"/>
        <w:rPr>
          <w:rFonts w:eastAsia="Times New Roman" w:cs="Arial"/>
          <w:color w:val="000000" w:themeColor="text1"/>
          <w:sz w:val="22"/>
          <w:szCs w:val="22"/>
          <w:lang w:val="en-US"/>
        </w:rPr>
      </w:pPr>
      <w:r w:rsidRPr="00A02F09">
        <w:rPr>
          <w:rFonts w:eastAsia="Times New Roman" w:cs="Arial"/>
          <w:color w:val="000000" w:themeColor="text1"/>
          <w:sz w:val="22"/>
          <w:szCs w:val="22"/>
          <w:lang w:val="en-US"/>
        </w:rPr>
        <w:t>Compared to these savings and benefits of at least </w:t>
      </w:r>
      <w:r w:rsidRPr="00A02F09">
        <w:rPr>
          <w:rFonts w:eastAsia="Times New Roman" w:cs="Arial"/>
          <w:b/>
          <w:bCs/>
          <w:color w:val="000000" w:themeColor="text1"/>
          <w:sz w:val="22"/>
          <w:szCs w:val="22"/>
          <w:lang w:val="en-US"/>
        </w:rPr>
        <w:t>120,000 EUR</w:t>
      </w:r>
      <w:r w:rsidRPr="00A02F09">
        <w:rPr>
          <w:rFonts w:eastAsia="Times New Roman" w:cs="Arial"/>
          <w:color w:val="000000" w:themeColor="text1"/>
          <w:sz w:val="22"/>
          <w:szCs w:val="22"/>
          <w:lang w:val="en-US"/>
        </w:rPr>
        <w:t>, an investment of </w:t>
      </w:r>
      <w:r w:rsidRPr="00A02F09">
        <w:rPr>
          <w:rFonts w:eastAsia="Times New Roman" w:cs="Arial"/>
          <w:b/>
          <w:bCs/>
          <w:color w:val="000000" w:themeColor="text1"/>
          <w:sz w:val="22"/>
          <w:szCs w:val="22"/>
          <w:highlight w:val="yellow"/>
          <w:lang w:val="en-US"/>
        </w:rPr>
        <w:t>3,900 EUR</w:t>
      </w:r>
      <w:r w:rsidR="00DA2508" w:rsidRPr="00DA2508">
        <w:rPr>
          <w:rFonts w:eastAsia="Times New Roman" w:cs="Arial"/>
          <w:b/>
          <w:bCs/>
          <w:color w:val="000000" w:themeColor="text1"/>
          <w:sz w:val="22"/>
          <w:szCs w:val="22"/>
          <w:lang w:val="en-US"/>
        </w:rPr>
        <w:t xml:space="preserve"> </w:t>
      </w:r>
      <w:bookmarkStart w:id="0" w:name="_GoBack"/>
      <w:bookmarkEnd w:id="0"/>
      <w:r w:rsidR="00DA2508" w:rsidRPr="00166D8F">
        <w:rPr>
          <w:rFonts w:eastAsia="Times New Roman" w:cs="Arial"/>
          <w:b/>
          <w:bCs/>
          <w:color w:val="000000" w:themeColor="text1"/>
          <w:sz w:val="22"/>
          <w:szCs w:val="22"/>
          <w:highlight w:val="yellow"/>
          <w:lang w:val="en-US"/>
        </w:rPr>
        <w:t>(if you chose this option)</w:t>
      </w:r>
      <w:r w:rsidRPr="00A02F09">
        <w:rPr>
          <w:rFonts w:eastAsia="Times New Roman" w:cs="Arial"/>
          <w:color w:val="000000" w:themeColor="text1"/>
          <w:sz w:val="22"/>
          <w:szCs w:val="22"/>
          <w:lang w:val="en-US"/>
        </w:rPr>
        <w:t> for the FinTe</w:t>
      </w:r>
      <w:r w:rsidR="00DA2508" w:rsidRPr="00DA2508">
        <w:rPr>
          <w:rFonts w:eastAsia="Times New Roman" w:cs="Arial"/>
          <w:color w:val="000000" w:themeColor="text1"/>
          <w:sz w:val="22"/>
          <w:szCs w:val="22"/>
          <w:lang w:val="en-US"/>
        </w:rPr>
        <w:t>ch Self-Starter is a smart move.</w:t>
      </w:r>
    </w:p>
    <w:p w:rsidR="00B30B05" w:rsidRPr="00DA2508" w:rsidRDefault="00B30B05" w:rsidP="00DF26C8">
      <w:pPr>
        <w:spacing w:before="200"/>
        <w:rPr>
          <w:rFonts w:eastAsia="Times New Roman" w:cstheme="minorHAnsi"/>
          <w:sz w:val="22"/>
          <w:szCs w:val="22"/>
          <w:lang w:val="en-US"/>
        </w:rPr>
      </w:pPr>
      <w:r w:rsidRPr="00DA2508">
        <w:rPr>
          <w:rFonts w:eastAsia="Times New Roman" w:cstheme="minorHAnsi"/>
          <w:color w:val="1A1A1A"/>
          <w:sz w:val="22"/>
          <w:szCs w:val="22"/>
          <w:lang w:val="en-US"/>
        </w:rPr>
        <w:t>The course is held online via Zoom</w:t>
      </w:r>
      <w:r w:rsidR="00A02F09" w:rsidRPr="00DA2508">
        <w:rPr>
          <w:rFonts w:eastAsia="Times New Roman" w:cstheme="minorHAnsi"/>
          <w:color w:val="1A1A1A"/>
          <w:sz w:val="22"/>
          <w:szCs w:val="22"/>
          <w:lang w:val="en-US"/>
        </w:rPr>
        <w:t xml:space="preserve"> and recorded</w:t>
      </w:r>
      <w:r w:rsidRPr="00DA2508">
        <w:rPr>
          <w:rFonts w:eastAsia="Times New Roman" w:cstheme="minorHAnsi"/>
          <w:color w:val="1A1A1A"/>
          <w:sz w:val="22"/>
          <w:szCs w:val="22"/>
          <w:lang w:val="en-US"/>
        </w:rPr>
        <w:t>, which means it won’t require travel expenses or interfere with my work schedule. </w:t>
      </w:r>
    </w:p>
    <w:p w:rsidR="00B30B05" w:rsidRPr="00DA2508" w:rsidRDefault="00B30B05" w:rsidP="00DF26C8">
      <w:pPr>
        <w:rPr>
          <w:rFonts w:eastAsia="Times New Roman" w:cstheme="minorHAnsi"/>
          <w:sz w:val="22"/>
          <w:szCs w:val="22"/>
          <w:lang w:val="en-US"/>
        </w:rPr>
      </w:pPr>
    </w:p>
    <w:p w:rsidR="00B30B05" w:rsidRPr="00DA2508" w:rsidRDefault="00B30B05" w:rsidP="00DF26C8">
      <w:pPr>
        <w:rPr>
          <w:rFonts w:eastAsia="Times New Roman" w:cstheme="minorHAnsi"/>
          <w:sz w:val="22"/>
          <w:szCs w:val="22"/>
          <w:lang w:val="en-US"/>
        </w:rPr>
      </w:pPr>
      <w:r w:rsidRPr="00DA2508">
        <w:rPr>
          <w:rFonts w:eastAsia="Times New Roman" w:cstheme="minorHAnsi"/>
          <w:color w:val="1A1A1A"/>
          <w:sz w:val="22"/>
          <w:szCs w:val="22"/>
          <w:lang w:val="en-US"/>
        </w:rPr>
        <w:t xml:space="preserve">Would you </w:t>
      </w:r>
      <w:r w:rsidR="00A02F09" w:rsidRPr="00DA2508">
        <w:rPr>
          <w:rFonts w:eastAsia="Times New Roman" w:cstheme="minorHAnsi"/>
          <w:color w:val="1A1A1A"/>
          <w:sz w:val="22"/>
          <w:szCs w:val="22"/>
          <w:lang w:val="en-US"/>
        </w:rPr>
        <w:t xml:space="preserve">kindly </w:t>
      </w:r>
      <w:r w:rsidRPr="00DA2508">
        <w:rPr>
          <w:rFonts w:eastAsia="Times New Roman" w:cstheme="minorHAnsi"/>
          <w:color w:val="1A1A1A"/>
          <w:sz w:val="22"/>
          <w:szCs w:val="22"/>
          <w:lang w:val="en-US"/>
        </w:rPr>
        <w:t xml:space="preserve">approve </w:t>
      </w:r>
      <w:r w:rsidRPr="00DA2508">
        <w:rPr>
          <w:rFonts w:eastAsia="Times New Roman" w:cstheme="minorHAnsi"/>
          <w:color w:val="1A1A1A"/>
          <w:sz w:val="22"/>
          <w:szCs w:val="22"/>
          <w:highlight w:val="yellow"/>
          <w:lang w:val="en-US"/>
        </w:rPr>
        <w:t>a full or partial reimbursement</w:t>
      </w:r>
      <w:r w:rsidRPr="00DA2508">
        <w:rPr>
          <w:rFonts w:eastAsia="Times New Roman" w:cstheme="minorHAnsi"/>
          <w:color w:val="1A1A1A"/>
          <w:sz w:val="22"/>
          <w:szCs w:val="22"/>
          <w:lang w:val="en-US"/>
        </w:rPr>
        <w:t xml:space="preserve"> for this program? </w:t>
      </w:r>
    </w:p>
    <w:p w:rsidR="00B30B05" w:rsidRPr="00DA2508" w:rsidRDefault="00B30B05" w:rsidP="00DF26C8">
      <w:pPr>
        <w:rPr>
          <w:rFonts w:eastAsia="Times New Roman" w:cstheme="minorHAnsi"/>
          <w:sz w:val="22"/>
          <w:szCs w:val="22"/>
          <w:lang w:val="en-US"/>
        </w:rPr>
      </w:pPr>
    </w:p>
    <w:p w:rsidR="00B30B05" w:rsidRPr="00DA2508" w:rsidRDefault="00B30B05" w:rsidP="00DF26C8">
      <w:pPr>
        <w:rPr>
          <w:rFonts w:eastAsia="Times New Roman" w:cstheme="minorHAnsi"/>
          <w:sz w:val="22"/>
          <w:szCs w:val="22"/>
          <w:lang w:val="en-US"/>
        </w:rPr>
      </w:pPr>
      <w:r w:rsidRPr="00DA2508">
        <w:rPr>
          <w:rFonts w:eastAsia="Times New Roman" w:cstheme="minorHAnsi"/>
          <w:color w:val="1A1A1A"/>
          <w:sz w:val="22"/>
          <w:szCs w:val="22"/>
          <w:lang w:val="en-US"/>
        </w:rPr>
        <w:t>Thank you for considering this request.</w:t>
      </w:r>
    </w:p>
    <w:p w:rsidR="00B30B05" w:rsidRPr="00DA2508" w:rsidRDefault="00B30B05" w:rsidP="00DF26C8">
      <w:pPr>
        <w:rPr>
          <w:rFonts w:eastAsia="Times New Roman" w:cstheme="minorHAnsi"/>
          <w:sz w:val="22"/>
          <w:szCs w:val="22"/>
          <w:lang w:val="en-US"/>
        </w:rPr>
      </w:pPr>
    </w:p>
    <w:p w:rsidR="00B30B05" w:rsidRPr="00DA2508" w:rsidRDefault="00273369" w:rsidP="00DF26C8">
      <w:pPr>
        <w:rPr>
          <w:rFonts w:eastAsia="Times New Roman" w:cstheme="minorHAnsi"/>
          <w:color w:val="1A1A1A"/>
          <w:sz w:val="22"/>
          <w:szCs w:val="22"/>
          <w:lang w:val="en-US"/>
        </w:rPr>
      </w:pPr>
      <w:r w:rsidRPr="00DA2508">
        <w:rPr>
          <w:rFonts w:eastAsia="Times New Roman" w:cstheme="minorHAnsi"/>
          <w:color w:val="1A1A1A"/>
          <w:sz w:val="22"/>
          <w:szCs w:val="22"/>
          <w:lang w:val="en-US"/>
        </w:rPr>
        <w:t>Regards</w:t>
      </w:r>
      <w:r w:rsidR="00B30B05" w:rsidRPr="00DA2508">
        <w:rPr>
          <w:rFonts w:eastAsia="Times New Roman" w:cstheme="minorHAnsi"/>
          <w:color w:val="1A1A1A"/>
          <w:sz w:val="22"/>
          <w:szCs w:val="22"/>
          <w:lang w:val="en-US"/>
        </w:rPr>
        <w:t>, </w:t>
      </w:r>
    </w:p>
    <w:p w:rsidR="00273369" w:rsidRPr="00DA2508" w:rsidRDefault="00273369" w:rsidP="00DF26C8">
      <w:pPr>
        <w:rPr>
          <w:rFonts w:eastAsia="Times New Roman" w:cstheme="minorHAnsi"/>
          <w:sz w:val="22"/>
          <w:szCs w:val="22"/>
          <w:lang w:val="en-US"/>
        </w:rPr>
      </w:pPr>
    </w:p>
    <w:p w:rsidR="00B30B05" w:rsidRPr="00DA2508" w:rsidRDefault="00B30B05" w:rsidP="00DF26C8">
      <w:pPr>
        <w:rPr>
          <w:rFonts w:eastAsia="Times New Roman" w:cstheme="minorHAnsi"/>
          <w:color w:val="1A1A1A"/>
          <w:sz w:val="22"/>
          <w:szCs w:val="22"/>
          <w:lang w:val="en-US"/>
        </w:rPr>
      </w:pPr>
      <w:r w:rsidRPr="00DA2508">
        <w:rPr>
          <w:rFonts w:eastAsia="Times New Roman" w:cstheme="minorHAnsi"/>
          <w:color w:val="1A1A1A"/>
          <w:sz w:val="22"/>
          <w:szCs w:val="22"/>
          <w:highlight w:val="yellow"/>
          <w:lang w:val="en-US"/>
        </w:rPr>
        <w:t>[Your name]</w:t>
      </w:r>
      <w:r w:rsidRPr="00DA2508">
        <w:rPr>
          <w:rFonts w:eastAsia="Times New Roman" w:cstheme="minorHAnsi"/>
          <w:color w:val="1A1A1A"/>
          <w:sz w:val="22"/>
          <w:szCs w:val="22"/>
          <w:lang w:val="en-US"/>
        </w:rPr>
        <w:t> </w:t>
      </w:r>
    </w:p>
    <w:p w:rsidR="00A02F09" w:rsidRPr="00DA2508" w:rsidRDefault="00A02F09" w:rsidP="00DF26C8">
      <w:pPr>
        <w:rPr>
          <w:rFonts w:eastAsia="Times New Roman" w:cstheme="minorHAnsi"/>
          <w:b/>
          <w:color w:val="1A1A1A"/>
          <w:sz w:val="22"/>
          <w:szCs w:val="22"/>
          <w:lang w:val="en-US"/>
        </w:rPr>
      </w:pPr>
    </w:p>
    <w:p w:rsidR="006A1C85" w:rsidRPr="00DA2508" w:rsidRDefault="00DA2508" w:rsidP="00DA2508">
      <w:pPr>
        <w:jc w:val="left"/>
        <w:rPr>
          <w:rFonts w:eastAsia="Times New Roman" w:cstheme="minorHAnsi"/>
          <w:b/>
          <w:color w:val="1A1A1A"/>
          <w:sz w:val="22"/>
          <w:szCs w:val="22"/>
          <w:lang w:val="en-US"/>
        </w:rPr>
      </w:pPr>
      <w:r>
        <w:rPr>
          <w:rFonts w:eastAsia="Times New Roman" w:cstheme="minorHAnsi"/>
          <w:b/>
          <w:color w:val="1A1A1A"/>
          <w:sz w:val="22"/>
          <w:szCs w:val="22"/>
          <w:lang w:val="en-US"/>
        </w:rPr>
        <w:t xml:space="preserve">APPENDIX.  </w:t>
      </w:r>
      <w:r w:rsidR="006A1C85" w:rsidRPr="00DA2508">
        <w:rPr>
          <w:rFonts w:eastAsia="Times New Roman" w:cstheme="minorHAnsi"/>
          <w:b/>
          <w:color w:val="1A1A1A"/>
          <w:sz w:val="22"/>
          <w:szCs w:val="22"/>
          <w:lang w:val="en-US"/>
        </w:rPr>
        <w:t>FULL</w:t>
      </w:r>
      <w:r w:rsidRPr="00DA2508">
        <w:rPr>
          <w:rFonts w:eastAsia="Times New Roman" w:cstheme="minorHAnsi"/>
          <w:b/>
          <w:color w:val="1A1A1A"/>
          <w:sz w:val="22"/>
          <w:szCs w:val="22"/>
          <w:lang w:val="en-US"/>
        </w:rPr>
        <w:t xml:space="preserve"> LIST OF RESOURCES AVAILABLE THROUGH THE</w:t>
      </w:r>
      <w:r w:rsidR="00A02F09" w:rsidRPr="00DA2508">
        <w:rPr>
          <w:rFonts w:eastAsia="Times New Roman" w:cstheme="minorHAnsi"/>
          <w:b/>
          <w:color w:val="1A1A1A"/>
          <w:sz w:val="22"/>
          <w:szCs w:val="22"/>
          <w:lang w:val="en-US"/>
        </w:rPr>
        <w:t xml:space="preserve"> FINTECH COMPLIANCE SELF-STARTER</w:t>
      </w:r>
      <w:r w:rsidR="006A1C85" w:rsidRPr="00DA2508">
        <w:rPr>
          <w:rFonts w:eastAsia="Times New Roman" w:cstheme="minorHAnsi"/>
          <w:b/>
          <w:color w:val="1A1A1A"/>
          <w:sz w:val="22"/>
          <w:szCs w:val="22"/>
          <w:lang w:val="en-US"/>
        </w:rPr>
        <w:t xml:space="preserve"> PROGRAM </w:t>
      </w:r>
    </w:p>
    <w:p w:rsidR="006A1C85" w:rsidRPr="00DA2508" w:rsidRDefault="006A1C85" w:rsidP="00DF26C8">
      <w:pPr>
        <w:rPr>
          <w:rFonts w:eastAsia="Times New Roman" w:cstheme="minorHAnsi"/>
          <w:color w:val="1A1A1A"/>
          <w:sz w:val="22"/>
          <w:szCs w:val="22"/>
          <w:lang w:val="en-US"/>
        </w:rPr>
      </w:pPr>
    </w:p>
    <w:p w:rsidR="006A1C85" w:rsidRPr="00DA2508" w:rsidRDefault="006A1C85" w:rsidP="006A1C85">
      <w:pPr>
        <w:rPr>
          <w:rFonts w:eastAsia="Times New Roman" w:cstheme="minorHAnsi"/>
          <w:b/>
          <w:sz w:val="22"/>
          <w:szCs w:val="22"/>
          <w:lang w:val="en-US"/>
        </w:rPr>
      </w:pPr>
      <w:r w:rsidRPr="00DA2508">
        <w:rPr>
          <w:rFonts w:eastAsia="Times New Roman" w:cstheme="minorHAnsi"/>
          <w:b/>
          <w:sz w:val="22"/>
          <w:szCs w:val="22"/>
          <w:lang w:val="en-US"/>
        </w:rPr>
        <w:t xml:space="preserve">Recorded project management workshops and video trainings that are instantly available: </w:t>
      </w:r>
    </w:p>
    <w:p w:rsidR="006A1C85" w:rsidRPr="00DA2508" w:rsidRDefault="006A1C85" w:rsidP="00D45426">
      <w:pPr>
        <w:pStyle w:val="ListParagraph"/>
        <w:jc w:val="both"/>
        <w:rPr>
          <w:color w:val="000000" w:themeColor="text1"/>
          <w:sz w:val="22"/>
          <w:szCs w:val="22"/>
          <w:lang w:val="en-US"/>
        </w:rPr>
      </w:pPr>
      <w:r w:rsidRPr="00DA2508">
        <w:rPr>
          <w:color w:val="000000" w:themeColor="text1"/>
          <w:sz w:val="22"/>
          <w:szCs w:val="22"/>
          <w:lang w:val="en-US"/>
        </w:rPr>
        <w:t xml:space="preserve">Rise of the Business-Like CCO </w:t>
      </w:r>
      <w:r w:rsidR="00273369" w:rsidRPr="00DA2508">
        <w:rPr>
          <w:color w:val="000000" w:themeColor="text1"/>
          <w:sz w:val="22"/>
          <w:szCs w:val="22"/>
          <w:lang w:val="en-US"/>
        </w:rPr>
        <w:t>– training focused on compliance performance metrics</w:t>
      </w:r>
    </w:p>
    <w:p w:rsidR="006A1C85" w:rsidRPr="00DA2508" w:rsidRDefault="006A1C85" w:rsidP="00D45426">
      <w:pPr>
        <w:pStyle w:val="ListParagraph"/>
        <w:jc w:val="both"/>
        <w:rPr>
          <w:color w:val="000000" w:themeColor="text1"/>
          <w:sz w:val="22"/>
          <w:szCs w:val="22"/>
          <w:lang w:val="en-US"/>
        </w:rPr>
      </w:pPr>
      <w:r w:rsidRPr="00DA2508">
        <w:rPr>
          <w:color w:val="000000" w:themeColor="text1"/>
          <w:sz w:val="22"/>
          <w:szCs w:val="22"/>
          <w:lang w:val="en-US"/>
        </w:rPr>
        <w:t>Opening bank account</w:t>
      </w:r>
      <w:r w:rsidR="00A02F09" w:rsidRPr="00DA2508">
        <w:rPr>
          <w:color w:val="000000" w:themeColor="text1"/>
          <w:sz w:val="22"/>
          <w:szCs w:val="22"/>
          <w:lang w:val="en-US"/>
        </w:rPr>
        <w:t>s</w:t>
      </w:r>
      <w:r w:rsidRPr="00DA2508">
        <w:rPr>
          <w:color w:val="000000" w:themeColor="text1"/>
          <w:sz w:val="22"/>
          <w:szCs w:val="22"/>
          <w:lang w:val="en-US"/>
        </w:rPr>
        <w:t xml:space="preserve"> and prepa</w:t>
      </w:r>
      <w:r w:rsidR="00DA2508" w:rsidRPr="00DA2508">
        <w:rPr>
          <w:color w:val="000000" w:themeColor="text1"/>
          <w:sz w:val="22"/>
          <w:szCs w:val="22"/>
          <w:lang w:val="en-US"/>
        </w:rPr>
        <w:t xml:space="preserve">ring for banking due diligence </w:t>
      </w:r>
    </w:p>
    <w:p w:rsidR="006A1C85" w:rsidRPr="00DA2508" w:rsidRDefault="006A1C85" w:rsidP="00D45426">
      <w:pPr>
        <w:pStyle w:val="ListParagraph"/>
        <w:jc w:val="both"/>
        <w:rPr>
          <w:color w:val="000000" w:themeColor="text1"/>
          <w:sz w:val="22"/>
          <w:szCs w:val="22"/>
          <w:lang w:val="en-US"/>
        </w:rPr>
      </w:pPr>
      <w:r w:rsidRPr="00DA2508">
        <w:rPr>
          <w:color w:val="000000" w:themeColor="text1"/>
          <w:sz w:val="22"/>
          <w:szCs w:val="22"/>
          <w:lang w:val="en-US"/>
        </w:rPr>
        <w:t xml:space="preserve">FinTech Licensing workshop and licensing planning </w:t>
      </w:r>
    </w:p>
    <w:p w:rsidR="006A1C85" w:rsidRPr="00DA2508" w:rsidRDefault="006A1C85" w:rsidP="00D45426">
      <w:pPr>
        <w:pStyle w:val="ListParagraph"/>
        <w:jc w:val="both"/>
        <w:rPr>
          <w:color w:val="000000" w:themeColor="text1"/>
          <w:sz w:val="22"/>
          <w:szCs w:val="22"/>
          <w:lang w:val="en-US"/>
        </w:rPr>
      </w:pPr>
      <w:r w:rsidRPr="00DA2508">
        <w:rPr>
          <w:color w:val="000000" w:themeColor="text1"/>
          <w:sz w:val="22"/>
          <w:szCs w:val="22"/>
          <w:lang w:val="en-US"/>
        </w:rPr>
        <w:t xml:space="preserve">FinTech Risk Assessment </w:t>
      </w:r>
      <w:r w:rsidR="00DA2508" w:rsidRPr="00DA2508">
        <w:rPr>
          <w:color w:val="000000" w:themeColor="text1"/>
          <w:sz w:val="22"/>
          <w:szCs w:val="22"/>
          <w:lang w:val="en-US"/>
        </w:rPr>
        <w:t>(methodology files included)</w:t>
      </w:r>
    </w:p>
    <w:p w:rsidR="006A1C85" w:rsidRPr="00DA2508" w:rsidRDefault="006A1C85" w:rsidP="00D45426">
      <w:pPr>
        <w:pStyle w:val="ListParagraph"/>
        <w:jc w:val="both"/>
        <w:rPr>
          <w:color w:val="000000" w:themeColor="text1"/>
          <w:sz w:val="22"/>
          <w:szCs w:val="22"/>
          <w:lang w:val="en-US"/>
        </w:rPr>
      </w:pPr>
      <w:r w:rsidRPr="00DA2508">
        <w:rPr>
          <w:color w:val="000000" w:themeColor="text1"/>
          <w:sz w:val="22"/>
          <w:szCs w:val="22"/>
          <w:lang w:val="en-US"/>
        </w:rPr>
        <w:t>Structuring White-Label Solutions in FinTech</w:t>
      </w:r>
    </w:p>
    <w:p w:rsidR="006A1C85" w:rsidRPr="00D45426" w:rsidRDefault="006A1C85" w:rsidP="00D45426">
      <w:pPr>
        <w:pStyle w:val="ListParagraph"/>
        <w:jc w:val="both"/>
        <w:rPr>
          <w:color w:val="000000" w:themeColor="text1"/>
          <w:sz w:val="22"/>
          <w:szCs w:val="22"/>
          <w:lang w:val="en-US"/>
        </w:rPr>
      </w:pPr>
      <w:proofErr w:type="spellStart"/>
      <w:r w:rsidRPr="00DA2508">
        <w:rPr>
          <w:color w:val="000000" w:themeColor="text1"/>
          <w:sz w:val="22"/>
          <w:szCs w:val="22"/>
        </w:rPr>
        <w:t>Onboarding</w:t>
      </w:r>
      <w:proofErr w:type="spellEnd"/>
      <w:r w:rsidRPr="00DA2508">
        <w:rPr>
          <w:color w:val="000000" w:themeColor="text1"/>
          <w:sz w:val="22"/>
          <w:szCs w:val="22"/>
        </w:rPr>
        <w:t xml:space="preserve"> </w:t>
      </w:r>
      <w:proofErr w:type="spellStart"/>
      <w:r w:rsidRPr="00DA2508">
        <w:rPr>
          <w:color w:val="000000" w:themeColor="text1"/>
          <w:sz w:val="22"/>
          <w:szCs w:val="22"/>
        </w:rPr>
        <w:t>of</w:t>
      </w:r>
      <w:proofErr w:type="spellEnd"/>
      <w:r w:rsidRPr="00DA2508">
        <w:rPr>
          <w:color w:val="000000" w:themeColor="text1"/>
          <w:sz w:val="22"/>
          <w:szCs w:val="22"/>
        </w:rPr>
        <w:t xml:space="preserve"> </w:t>
      </w:r>
      <w:r w:rsidRPr="00D45426">
        <w:rPr>
          <w:color w:val="000000" w:themeColor="text1"/>
          <w:sz w:val="22"/>
          <w:szCs w:val="22"/>
          <w:lang w:val="en-US"/>
        </w:rPr>
        <w:t xml:space="preserve">corporate customers </w:t>
      </w:r>
    </w:p>
    <w:p w:rsidR="006A1C85" w:rsidRPr="00D45426" w:rsidRDefault="006A1C85" w:rsidP="00D45426">
      <w:pPr>
        <w:pStyle w:val="ListParagraph"/>
        <w:jc w:val="both"/>
        <w:rPr>
          <w:color w:val="000000" w:themeColor="text1"/>
          <w:sz w:val="22"/>
          <w:szCs w:val="22"/>
          <w:lang w:val="en-US"/>
        </w:rPr>
      </w:pPr>
      <w:r w:rsidRPr="00D45426">
        <w:rPr>
          <w:color w:val="000000" w:themeColor="text1"/>
          <w:sz w:val="22"/>
          <w:szCs w:val="22"/>
          <w:lang w:val="en-US"/>
        </w:rPr>
        <w:t>Creating FinTech Privacy Policy and GDPR Compliance</w:t>
      </w:r>
    </w:p>
    <w:p w:rsidR="006A1C85" w:rsidRPr="00D45426" w:rsidRDefault="006A1C85" w:rsidP="00D45426">
      <w:pPr>
        <w:pStyle w:val="ListParagraph"/>
        <w:jc w:val="both"/>
        <w:rPr>
          <w:color w:val="000000" w:themeColor="text1"/>
          <w:sz w:val="22"/>
          <w:szCs w:val="22"/>
          <w:lang w:val="en-US"/>
        </w:rPr>
      </w:pPr>
      <w:r w:rsidRPr="00D45426">
        <w:rPr>
          <w:color w:val="000000" w:themeColor="text1"/>
          <w:sz w:val="22"/>
          <w:szCs w:val="22"/>
          <w:lang w:val="en-US"/>
        </w:rPr>
        <w:t xml:space="preserve">Preparing for and managing FinTech AML and operational audits </w:t>
      </w:r>
    </w:p>
    <w:p w:rsidR="006A1C85" w:rsidRPr="00DA2508" w:rsidRDefault="006A1C85" w:rsidP="00D45426">
      <w:pPr>
        <w:pStyle w:val="ListParagraph"/>
        <w:jc w:val="both"/>
        <w:rPr>
          <w:color w:val="000000" w:themeColor="text1"/>
          <w:sz w:val="22"/>
          <w:szCs w:val="22"/>
        </w:rPr>
      </w:pPr>
      <w:r w:rsidRPr="00D45426">
        <w:rPr>
          <w:color w:val="000000" w:themeColor="text1"/>
          <w:sz w:val="22"/>
          <w:szCs w:val="22"/>
          <w:lang w:val="en-US"/>
        </w:rPr>
        <w:t>Annual compliance</w:t>
      </w:r>
      <w:r w:rsidRPr="00DA2508">
        <w:rPr>
          <w:color w:val="000000" w:themeColor="text1"/>
          <w:sz w:val="22"/>
          <w:szCs w:val="22"/>
        </w:rPr>
        <w:t xml:space="preserve"> reporting requirements for FinTech workshop (all mandatory reports templates included)</w:t>
      </w:r>
    </w:p>
    <w:p w:rsidR="006A1C85" w:rsidRPr="00DA2508" w:rsidRDefault="00273369" w:rsidP="00D45426">
      <w:pPr>
        <w:pStyle w:val="ListParagraph"/>
        <w:jc w:val="both"/>
        <w:rPr>
          <w:color w:val="000000" w:themeColor="text1"/>
          <w:sz w:val="22"/>
          <w:szCs w:val="22"/>
        </w:rPr>
      </w:pPr>
      <w:r w:rsidRPr="00DA2508">
        <w:rPr>
          <w:color w:val="000000" w:themeColor="text1"/>
          <w:sz w:val="22"/>
          <w:szCs w:val="22"/>
        </w:rPr>
        <w:t xml:space="preserve">Documenting your Outsourcing </w:t>
      </w:r>
    </w:p>
    <w:p w:rsidR="006A1C85" w:rsidRPr="00DA2508" w:rsidRDefault="006A1C85" w:rsidP="00D45426">
      <w:pPr>
        <w:pStyle w:val="ListParagraph"/>
        <w:jc w:val="both"/>
        <w:rPr>
          <w:color w:val="000000" w:themeColor="text1"/>
          <w:sz w:val="22"/>
          <w:szCs w:val="22"/>
        </w:rPr>
      </w:pPr>
      <w:r w:rsidRPr="00DA2508">
        <w:rPr>
          <w:color w:val="000000" w:themeColor="text1"/>
          <w:sz w:val="22"/>
          <w:szCs w:val="22"/>
        </w:rPr>
        <w:t>Compliance Performance and Resource Management</w:t>
      </w:r>
    </w:p>
    <w:p w:rsidR="006A1C85" w:rsidRPr="00DA2508" w:rsidRDefault="006A1C85" w:rsidP="00D45426">
      <w:pPr>
        <w:pStyle w:val="ListParagraph"/>
        <w:jc w:val="both"/>
        <w:rPr>
          <w:color w:val="000000" w:themeColor="text1"/>
          <w:sz w:val="22"/>
          <w:szCs w:val="22"/>
          <w:lang w:val="en-US"/>
        </w:rPr>
      </w:pPr>
      <w:r w:rsidRPr="00DA2508">
        <w:rPr>
          <w:color w:val="000000" w:themeColor="text1"/>
          <w:sz w:val="22"/>
          <w:szCs w:val="22"/>
          <w:lang w:val="en-US"/>
        </w:rPr>
        <w:t>End-to-end Crypto Compliance Workshop (including a separate dedicated training on how to comply with Apple and Appstore Guidelines</w:t>
      </w:r>
      <w:r w:rsidR="00273369" w:rsidRPr="00DA2508">
        <w:rPr>
          <w:color w:val="000000" w:themeColor="text1"/>
          <w:sz w:val="22"/>
          <w:szCs w:val="22"/>
          <w:lang w:val="en-US"/>
        </w:rPr>
        <w:t xml:space="preserve"> for crypto services</w:t>
      </w:r>
      <w:r w:rsidRPr="00DA2508">
        <w:rPr>
          <w:color w:val="000000" w:themeColor="text1"/>
          <w:sz w:val="22"/>
          <w:szCs w:val="22"/>
          <w:lang w:val="en-US"/>
        </w:rPr>
        <w:t>)</w:t>
      </w:r>
    </w:p>
    <w:p w:rsidR="00273369" w:rsidRPr="00DA2508" w:rsidRDefault="00273369" w:rsidP="00D45426">
      <w:pPr>
        <w:pStyle w:val="ListParagraph"/>
        <w:jc w:val="both"/>
        <w:rPr>
          <w:color w:val="000000" w:themeColor="text1"/>
          <w:sz w:val="22"/>
          <w:szCs w:val="22"/>
          <w:lang w:val="en-US"/>
        </w:rPr>
      </w:pPr>
      <w:r w:rsidRPr="00DA2508">
        <w:rPr>
          <w:color w:val="000000" w:themeColor="text1"/>
          <w:sz w:val="22"/>
          <w:szCs w:val="22"/>
          <w:lang w:val="en-US"/>
        </w:rPr>
        <w:t>FATCA and CRS training</w:t>
      </w:r>
    </w:p>
    <w:p w:rsidR="00273369" w:rsidRPr="00DA2508" w:rsidRDefault="00273369" w:rsidP="00D45426">
      <w:pPr>
        <w:pStyle w:val="ListParagraph"/>
        <w:numPr>
          <w:ilvl w:val="0"/>
          <w:numId w:val="0"/>
        </w:numPr>
        <w:ind w:left="1080"/>
        <w:jc w:val="both"/>
        <w:rPr>
          <w:sz w:val="22"/>
          <w:szCs w:val="22"/>
          <w:lang w:val="en-US"/>
        </w:rPr>
      </w:pPr>
    </w:p>
    <w:p w:rsidR="006A1C85" w:rsidRPr="00DA2508" w:rsidRDefault="006A1C85" w:rsidP="00D45426">
      <w:pPr>
        <w:rPr>
          <w:rFonts w:eastAsia="Times New Roman" w:cstheme="minorHAnsi"/>
          <w:sz w:val="22"/>
          <w:szCs w:val="22"/>
          <w:lang w:val="en-US"/>
        </w:rPr>
      </w:pPr>
    </w:p>
    <w:p w:rsidR="004766F7" w:rsidRPr="004766F7" w:rsidRDefault="004766F7" w:rsidP="00D45426">
      <w:pPr>
        <w:rPr>
          <w:rFonts w:eastAsia="Times New Roman" w:cstheme="minorHAnsi"/>
          <w:sz w:val="22"/>
          <w:szCs w:val="22"/>
          <w:lang w:val="en-US"/>
        </w:rPr>
      </w:pPr>
      <w:r w:rsidRPr="004766F7">
        <w:rPr>
          <w:rFonts w:eastAsia="Times New Roman" w:cs="Arial"/>
          <w:b/>
          <w:color w:val="000000" w:themeColor="text1"/>
          <w:sz w:val="22"/>
          <w:szCs w:val="22"/>
          <w:lang w:val="en-US"/>
        </w:rPr>
        <w:lastRenderedPageBreak/>
        <w:t xml:space="preserve">FinTech compliance </w:t>
      </w:r>
      <w:r w:rsidR="00A02F09" w:rsidRPr="00DA2508">
        <w:rPr>
          <w:rFonts w:eastAsia="Times New Roman" w:cs="Arial"/>
          <w:b/>
          <w:color w:val="000000" w:themeColor="text1"/>
          <w:sz w:val="22"/>
          <w:szCs w:val="22"/>
          <w:lang w:val="en-US"/>
        </w:rPr>
        <w:t>templates</w:t>
      </w:r>
      <w:r w:rsidRPr="004766F7">
        <w:rPr>
          <w:rFonts w:eastAsia="Times New Roman" w:cs="Arial"/>
          <w:b/>
          <w:color w:val="000000" w:themeColor="text1"/>
          <w:sz w:val="22"/>
          <w:szCs w:val="22"/>
          <w:lang w:val="en-US"/>
        </w:rPr>
        <w:t>:</w:t>
      </w:r>
    </w:p>
    <w:p w:rsidR="004766F7" w:rsidRPr="004766F7" w:rsidRDefault="004766F7" w:rsidP="00D45426">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AML, KYC, PEPs, sanctions policies and SOPs,</w:t>
      </w:r>
      <w:r w:rsidRPr="004766F7">
        <w:rPr>
          <w:rFonts w:eastAsia="Times New Roman" w:cs="Arial"/>
          <w:color w:val="000000" w:themeColor="text1"/>
          <w:sz w:val="22"/>
          <w:szCs w:val="22"/>
          <w:lang w:val="en-US"/>
        </w:rPr>
        <w:t> onboarding flow setup guide (including policies, tools review, and guidance on admin and case management setup)</w:t>
      </w:r>
    </w:p>
    <w:p w:rsidR="004766F7" w:rsidRPr="004766F7" w:rsidRDefault="004766F7" w:rsidP="00D45426">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Privacy and GDPR module</w:t>
      </w:r>
      <w:r w:rsidRPr="004766F7">
        <w:rPr>
          <w:rFonts w:eastAsia="Times New Roman" w:cs="Arial"/>
          <w:color w:val="000000" w:themeColor="text1"/>
          <w:sz w:val="22"/>
          <w:szCs w:val="22"/>
          <w:lang w:val="en-US"/>
        </w:rPr>
        <w:t>, including privacy policy, GDPR compliance policy, binding corporate rules, and standard contractual closes or Data Transfer Appendix template (to be included in all your contracts with vendors and payments partners where data transfer is involved)</w:t>
      </w:r>
    </w:p>
    <w:p w:rsidR="004766F7" w:rsidRPr="004766F7" w:rsidRDefault="004766F7" w:rsidP="00D45426">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Outsourcing</w:t>
      </w:r>
      <w:r w:rsidRPr="004766F7">
        <w:rPr>
          <w:rFonts w:eastAsia="Times New Roman" w:cs="Arial"/>
          <w:color w:val="000000" w:themeColor="text1"/>
          <w:sz w:val="22"/>
          <w:szCs w:val="22"/>
          <w:lang w:val="en-US"/>
        </w:rPr>
        <w:t> framework setup, including outsourcing policy template and outsourcing assessment checklist</w:t>
      </w:r>
    </w:p>
    <w:p w:rsidR="004766F7" w:rsidRPr="004766F7" w:rsidRDefault="004766F7" w:rsidP="004766F7">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Consumer and Investor Protection</w:t>
      </w:r>
      <w:r w:rsidRPr="004766F7">
        <w:rPr>
          <w:rFonts w:eastAsia="Times New Roman" w:cs="Arial"/>
          <w:color w:val="000000" w:themeColor="text1"/>
          <w:sz w:val="22"/>
          <w:szCs w:val="22"/>
          <w:lang w:val="en-US"/>
        </w:rPr>
        <w:t>, including </w:t>
      </w:r>
      <w:r w:rsidRPr="00DA2508">
        <w:rPr>
          <w:rFonts w:eastAsia="Times New Roman" w:cs="Arial"/>
          <w:b/>
          <w:bCs/>
          <w:color w:val="000000" w:themeColor="text1"/>
          <w:sz w:val="22"/>
          <w:szCs w:val="22"/>
          <w:lang w:val="en-US"/>
        </w:rPr>
        <w:t>Customer Protection and Complaints Handling Policy, Investor Protection Policy, and Customer Funds Safeguarding Procedure</w:t>
      </w:r>
      <w:r w:rsidRPr="004766F7">
        <w:rPr>
          <w:rFonts w:eastAsia="Times New Roman" w:cs="Arial"/>
          <w:color w:val="000000" w:themeColor="text1"/>
          <w:sz w:val="22"/>
          <w:szCs w:val="22"/>
          <w:lang w:val="en-US"/>
        </w:rPr>
        <w:t> (for fiat and crypto services)</w:t>
      </w:r>
    </w:p>
    <w:p w:rsidR="004766F7" w:rsidRPr="004766F7" w:rsidRDefault="004766F7" w:rsidP="004766F7">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Information Security, including InfoSec policy</w:t>
      </w:r>
      <w:r w:rsidRPr="004766F7">
        <w:rPr>
          <w:rFonts w:eastAsia="Times New Roman" w:cs="Arial"/>
          <w:color w:val="000000" w:themeColor="text1"/>
          <w:sz w:val="22"/>
          <w:szCs w:val="22"/>
          <w:lang w:val="en-US"/>
        </w:rPr>
        <w:t>, incident management, and business continuity policy</w:t>
      </w:r>
    </w:p>
    <w:p w:rsidR="004766F7" w:rsidRPr="004766F7" w:rsidRDefault="004766F7" w:rsidP="004766F7">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4766F7">
        <w:rPr>
          <w:rFonts w:eastAsia="Times New Roman" w:cs="Arial"/>
          <w:color w:val="000000" w:themeColor="text1"/>
          <w:sz w:val="22"/>
          <w:szCs w:val="22"/>
          <w:lang w:val="en-US"/>
        </w:rPr>
        <w:t>Blockchain-specific regulations, including </w:t>
      </w:r>
      <w:r w:rsidRPr="00DA2508">
        <w:rPr>
          <w:rFonts w:eastAsia="Times New Roman" w:cs="Arial"/>
          <w:b/>
          <w:bCs/>
          <w:color w:val="000000" w:themeColor="text1"/>
          <w:sz w:val="22"/>
          <w:szCs w:val="22"/>
          <w:lang w:val="en-US"/>
        </w:rPr>
        <w:t>Blockchain Operational compliance policy</w:t>
      </w:r>
      <w:r w:rsidRPr="004766F7">
        <w:rPr>
          <w:rFonts w:eastAsia="Times New Roman" w:cs="Arial"/>
          <w:color w:val="000000" w:themeColor="text1"/>
          <w:sz w:val="22"/>
          <w:szCs w:val="22"/>
          <w:lang w:val="en-US"/>
        </w:rPr>
        <w:t> </w:t>
      </w:r>
    </w:p>
    <w:p w:rsidR="004766F7" w:rsidRPr="004766F7" w:rsidRDefault="004766F7" w:rsidP="004766F7">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Corporate Governance</w:t>
      </w:r>
      <w:r w:rsidRPr="004766F7">
        <w:rPr>
          <w:rFonts w:eastAsia="Times New Roman" w:cs="Arial"/>
          <w:color w:val="000000" w:themeColor="text1"/>
          <w:sz w:val="22"/>
          <w:szCs w:val="22"/>
          <w:lang w:val="en-US"/>
        </w:rPr>
        <w:t> and Board of Directors set up, Code of Conduct, Segregation of Duties guidance, Anti-Bribery and Corruption procedure, and other relevant templates (e.g. gift policy, HR screening, etc.)</w:t>
      </w:r>
    </w:p>
    <w:p w:rsidR="004766F7" w:rsidRPr="004766F7" w:rsidRDefault="004766F7" w:rsidP="004766F7">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Business-wide risk assessment </w:t>
      </w:r>
      <w:r w:rsidRPr="004766F7">
        <w:rPr>
          <w:rFonts w:eastAsia="Times New Roman" w:cs="Arial"/>
          <w:color w:val="000000" w:themeColor="text1"/>
          <w:sz w:val="22"/>
          <w:szCs w:val="22"/>
          <w:lang w:val="en-US"/>
        </w:rPr>
        <w:t>and product risk assessment (with dedicated sections for AML, Product, VASPs, General Risks, Financial Risks, Startup Risks, and Regulatory Risks)</w:t>
      </w:r>
    </w:p>
    <w:p w:rsidR="004766F7" w:rsidRPr="004766F7" w:rsidRDefault="004766F7" w:rsidP="004766F7">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Risk Management, Assessment, and Fraud Prevention</w:t>
      </w:r>
      <w:r w:rsidRPr="004766F7">
        <w:rPr>
          <w:rFonts w:eastAsia="Times New Roman" w:cs="Arial"/>
          <w:color w:val="000000" w:themeColor="text1"/>
          <w:sz w:val="22"/>
          <w:szCs w:val="22"/>
          <w:lang w:val="en-US"/>
        </w:rPr>
        <w:t>, including relevant Risk Management policy and Risk Assessment and Risk Assessment methodology templates</w:t>
      </w:r>
    </w:p>
    <w:p w:rsidR="004766F7" w:rsidRPr="004766F7" w:rsidRDefault="004766F7" w:rsidP="004766F7">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Conflict of Interests and Insider Trading Policy</w:t>
      </w:r>
    </w:p>
    <w:p w:rsidR="004766F7" w:rsidRPr="004766F7" w:rsidRDefault="004766F7" w:rsidP="004766F7">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Terms of Service, Affiliation and Loyalty Programs structuring</w:t>
      </w:r>
      <w:r w:rsidRPr="004766F7">
        <w:rPr>
          <w:rFonts w:eastAsia="Times New Roman" w:cs="Arial"/>
          <w:color w:val="000000" w:themeColor="text1"/>
          <w:sz w:val="22"/>
          <w:szCs w:val="22"/>
          <w:lang w:val="en-US"/>
        </w:rPr>
        <w:t> (including sample language for loyalty points or reward programs, beta testing provisions, and affiliation program templates)</w:t>
      </w:r>
    </w:p>
    <w:p w:rsidR="004766F7" w:rsidRPr="004766F7" w:rsidRDefault="004766F7" w:rsidP="004766F7">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Inter-Company Agreements and SLAs</w:t>
      </w:r>
    </w:p>
    <w:p w:rsidR="004766F7" w:rsidRPr="004766F7" w:rsidRDefault="004766F7" w:rsidP="004766F7">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Detailed and comprehensive Annual Compliance Plan and sample Internal Audit Plan. </w:t>
      </w:r>
      <w:r w:rsidRPr="004766F7">
        <w:rPr>
          <w:rFonts w:eastAsia="Times New Roman" w:cs="Arial"/>
          <w:color w:val="000000" w:themeColor="text1"/>
          <w:sz w:val="22"/>
          <w:szCs w:val="22"/>
          <w:lang w:val="en-US"/>
        </w:rPr>
        <w:t>Compliance Assurance Framework (roles of FLOD, SLOD, audit)</w:t>
      </w:r>
    </w:p>
    <w:p w:rsidR="004766F7" w:rsidRPr="004766F7" w:rsidRDefault="004766F7" w:rsidP="004766F7">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FinTech Licensing</w:t>
      </w:r>
      <w:r w:rsidRPr="004766F7">
        <w:rPr>
          <w:rFonts w:eastAsia="Times New Roman" w:cs="Arial"/>
          <w:color w:val="000000" w:themeColor="text1"/>
          <w:sz w:val="22"/>
          <w:szCs w:val="22"/>
          <w:lang w:val="en-US"/>
        </w:rPr>
        <w:t> - including License Application Template, financial projections template, business plan template, FinTech licensing roadmap, first regulatory inquiry template</w:t>
      </w:r>
    </w:p>
    <w:p w:rsidR="004766F7" w:rsidRPr="004766F7" w:rsidRDefault="004766F7" w:rsidP="004766F7">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Token listing and token assessment criteria</w:t>
      </w:r>
      <w:r w:rsidRPr="004766F7">
        <w:rPr>
          <w:rFonts w:eastAsia="Times New Roman" w:cs="Arial"/>
          <w:color w:val="000000" w:themeColor="text1"/>
          <w:sz w:val="22"/>
          <w:szCs w:val="22"/>
          <w:lang w:val="en-US"/>
        </w:rPr>
        <w:t> (for cryptocurrency exchanges</w:t>
      </w:r>
      <w:r w:rsidR="00E26255">
        <w:rPr>
          <w:rFonts w:eastAsia="Times New Roman" w:cs="Arial"/>
          <w:color w:val="000000" w:themeColor="text1"/>
          <w:sz w:val="22"/>
          <w:szCs w:val="22"/>
          <w:lang w:val="en-US"/>
        </w:rPr>
        <w:t>, custodians</w:t>
      </w:r>
      <w:r w:rsidRPr="004766F7">
        <w:rPr>
          <w:rFonts w:eastAsia="Times New Roman" w:cs="Arial"/>
          <w:color w:val="000000" w:themeColor="text1"/>
          <w:sz w:val="22"/>
          <w:szCs w:val="22"/>
          <w:lang w:val="en-US"/>
        </w:rPr>
        <w:t xml:space="preserve"> or wallets).</w:t>
      </w:r>
    </w:p>
    <w:p w:rsidR="004766F7" w:rsidRPr="00DA2508" w:rsidRDefault="004766F7" w:rsidP="004766F7">
      <w:pPr>
        <w:numPr>
          <w:ilvl w:val="0"/>
          <w:numId w:val="5"/>
        </w:numPr>
        <w:shd w:val="clear" w:color="auto" w:fill="FFFFFF"/>
        <w:spacing w:before="100" w:beforeAutospacing="1" w:after="100" w:afterAutospacing="1"/>
        <w:ind w:left="300"/>
        <w:rPr>
          <w:rFonts w:eastAsia="Times New Roman" w:cs="Arial"/>
          <w:color w:val="000000" w:themeColor="text1"/>
          <w:sz w:val="22"/>
          <w:szCs w:val="22"/>
          <w:lang w:val="en-US"/>
        </w:rPr>
      </w:pPr>
      <w:r w:rsidRPr="00DA2508">
        <w:rPr>
          <w:rFonts w:eastAsia="Times New Roman" w:cs="Arial"/>
          <w:b/>
          <w:bCs/>
          <w:color w:val="000000" w:themeColor="text1"/>
          <w:sz w:val="22"/>
          <w:szCs w:val="22"/>
          <w:lang w:val="en-US"/>
        </w:rPr>
        <w:t>FATCA and CRS compliance policy</w:t>
      </w:r>
    </w:p>
    <w:p w:rsidR="00DA2508" w:rsidRDefault="00DA2508" w:rsidP="00DA2508">
      <w:pPr>
        <w:shd w:val="clear" w:color="auto" w:fill="FFFFFF"/>
        <w:spacing w:before="100" w:beforeAutospacing="1" w:after="100" w:afterAutospacing="1"/>
        <w:rPr>
          <w:rFonts w:eastAsia="Times New Roman" w:cs="Arial"/>
          <w:b/>
          <w:bCs/>
          <w:color w:val="000000" w:themeColor="text1"/>
          <w:sz w:val="22"/>
          <w:szCs w:val="22"/>
          <w:lang w:val="en-US"/>
        </w:rPr>
      </w:pPr>
    </w:p>
    <w:p w:rsidR="00DA2508" w:rsidRPr="00DA2508" w:rsidRDefault="00DA2508" w:rsidP="00DA2508">
      <w:pPr>
        <w:spacing w:before="100" w:beforeAutospacing="1" w:after="100" w:afterAutospacing="1"/>
        <w:rPr>
          <w:rFonts w:eastAsia="Times New Roman" w:cs="Arial"/>
          <w:b/>
          <w:color w:val="000000" w:themeColor="text1"/>
          <w:sz w:val="22"/>
          <w:szCs w:val="22"/>
          <w:u w:val="single"/>
          <w:lang w:val="en-US"/>
        </w:rPr>
      </w:pPr>
      <w:r w:rsidRPr="00DA2508">
        <w:rPr>
          <w:rFonts w:eastAsia="Times New Roman" w:cs="Arial"/>
          <w:b/>
          <w:color w:val="000000" w:themeColor="text1"/>
          <w:sz w:val="22"/>
          <w:szCs w:val="22"/>
          <w:u w:val="single"/>
          <w:lang w:val="en-US"/>
        </w:rPr>
        <w:t>Below is the Certification-specific curriculum:</w:t>
      </w:r>
    </w:p>
    <w:p w:rsidR="005C20D4" w:rsidRPr="005C20D4" w:rsidRDefault="005C20D4" w:rsidP="005C20D4">
      <w:pPr>
        <w:spacing w:before="100" w:beforeAutospacing="1" w:after="100" w:afterAutospacing="1"/>
        <w:rPr>
          <w:rFonts w:eastAsia="Times New Roman" w:cs="Arial"/>
          <w:color w:val="000000" w:themeColor="text1"/>
          <w:sz w:val="22"/>
          <w:szCs w:val="22"/>
          <w:lang w:val="en-US"/>
        </w:rPr>
      </w:pPr>
      <w:r w:rsidRPr="005C20D4">
        <w:rPr>
          <w:rFonts w:eastAsia="Times New Roman" w:cs="Arial"/>
          <w:b/>
          <w:bCs/>
          <w:color w:val="000000" w:themeColor="text1"/>
          <w:sz w:val="22"/>
          <w:szCs w:val="22"/>
          <w:lang w:val="en-US"/>
        </w:rPr>
        <w:t>1. Goal-setting.</w:t>
      </w:r>
      <w:r w:rsidRPr="005C20D4">
        <w:rPr>
          <w:rFonts w:eastAsia="Times New Roman" w:cs="Arial"/>
          <w:color w:val="000000" w:themeColor="text1"/>
          <w:sz w:val="22"/>
          <w:szCs w:val="22"/>
          <w:lang w:val="en-US"/>
        </w:rPr>
        <w:t> Our first group call is a workshop dedicated to determining specific deliverables or professional results each participant decides to set for themselves or their function.</w:t>
      </w:r>
    </w:p>
    <w:p w:rsidR="005C20D4" w:rsidRPr="005C20D4" w:rsidRDefault="005C20D4" w:rsidP="005C20D4">
      <w:pPr>
        <w:spacing w:before="100" w:beforeAutospacing="1" w:after="100" w:afterAutospacing="1"/>
        <w:rPr>
          <w:rFonts w:eastAsia="Times New Roman" w:cs="Arial"/>
          <w:color w:val="000000" w:themeColor="text1"/>
          <w:sz w:val="22"/>
          <w:szCs w:val="22"/>
          <w:lang w:val="en-US"/>
        </w:rPr>
      </w:pPr>
      <w:r w:rsidRPr="005C20D4">
        <w:rPr>
          <w:rFonts w:eastAsia="Times New Roman" w:cs="Arial"/>
          <w:b/>
          <w:bCs/>
          <w:color w:val="000000" w:themeColor="text1"/>
          <w:sz w:val="22"/>
          <w:szCs w:val="22"/>
          <w:lang w:val="en-US"/>
        </w:rPr>
        <w:t>2. Manage regulatory change</w:t>
      </w:r>
      <w:r w:rsidRPr="005C20D4">
        <w:rPr>
          <w:rFonts w:eastAsia="Times New Roman" w:cs="Arial"/>
          <w:color w:val="000000" w:themeColor="text1"/>
          <w:sz w:val="22"/>
          <w:szCs w:val="22"/>
          <w:lang w:val="en-US"/>
        </w:rPr>
        <w:t> workshop is dedicated to developing the skills needed to prepare and manage any regulatory change. We will use the example of MICA Regulation.</w:t>
      </w:r>
    </w:p>
    <w:p w:rsidR="005C20D4" w:rsidRPr="005C20D4" w:rsidRDefault="005C20D4" w:rsidP="005C20D4">
      <w:pPr>
        <w:spacing w:before="100" w:beforeAutospacing="1" w:after="100" w:afterAutospacing="1"/>
        <w:rPr>
          <w:rFonts w:eastAsia="Times New Roman" w:cs="Arial"/>
          <w:color w:val="000000" w:themeColor="text1"/>
          <w:sz w:val="22"/>
          <w:szCs w:val="22"/>
          <w:lang w:val="en-US"/>
        </w:rPr>
      </w:pPr>
      <w:r w:rsidRPr="005C20D4">
        <w:rPr>
          <w:rFonts w:eastAsia="Times New Roman" w:cs="Arial"/>
          <w:b/>
          <w:bCs/>
          <w:color w:val="000000" w:themeColor="text1"/>
          <w:sz w:val="22"/>
          <w:szCs w:val="22"/>
          <w:lang w:val="en-US"/>
        </w:rPr>
        <w:t>3. Preparing compliance ROI.</w:t>
      </w:r>
      <w:r w:rsidRPr="005C20D4">
        <w:rPr>
          <w:rFonts w:eastAsia="Times New Roman" w:cs="Arial"/>
          <w:color w:val="000000" w:themeColor="text1"/>
          <w:sz w:val="22"/>
          <w:szCs w:val="22"/>
          <w:lang w:val="en-US"/>
        </w:rPr>
        <w:t xml:space="preserve"> We will have a special training where the participants will have to analyze key components of the compliance costs and the composition of the </w:t>
      </w:r>
      <w:r w:rsidRPr="005C20D4">
        <w:rPr>
          <w:rFonts w:eastAsia="Times New Roman" w:cs="Arial"/>
          <w:color w:val="000000" w:themeColor="text1"/>
          <w:sz w:val="22"/>
          <w:szCs w:val="22"/>
          <w:lang w:val="en-US"/>
        </w:rPr>
        <w:lastRenderedPageBreak/>
        <w:t>compliance budget. They will have to prepare a project analysis for a new compliance initiative using ROI method.</w:t>
      </w:r>
    </w:p>
    <w:p w:rsidR="005C20D4" w:rsidRPr="005C20D4" w:rsidRDefault="005C20D4" w:rsidP="005C20D4">
      <w:pPr>
        <w:spacing w:before="100" w:beforeAutospacing="1" w:after="100" w:afterAutospacing="1"/>
        <w:rPr>
          <w:rFonts w:eastAsia="Times New Roman" w:cs="Arial"/>
          <w:color w:val="000000" w:themeColor="text1"/>
          <w:sz w:val="22"/>
          <w:szCs w:val="22"/>
          <w:lang w:val="en-US"/>
        </w:rPr>
      </w:pPr>
      <w:r w:rsidRPr="005C20D4">
        <w:rPr>
          <w:rFonts w:eastAsia="Times New Roman" w:cs="Arial"/>
          <w:b/>
          <w:bCs/>
          <w:color w:val="000000" w:themeColor="text1"/>
          <w:sz w:val="22"/>
          <w:szCs w:val="22"/>
          <w:lang w:val="en-US"/>
        </w:rPr>
        <w:t>4. Developing Annual Compliance Plan </w:t>
      </w:r>
      <w:r w:rsidRPr="005C20D4">
        <w:rPr>
          <w:rFonts w:eastAsia="Times New Roman" w:cs="Arial"/>
          <w:color w:val="000000" w:themeColor="text1"/>
          <w:sz w:val="22"/>
          <w:szCs w:val="22"/>
          <w:lang w:val="en-US"/>
        </w:rPr>
        <w:t>training covers the following areas:</w:t>
      </w:r>
    </w:p>
    <w:p w:rsidR="005C20D4" w:rsidRPr="005C20D4" w:rsidRDefault="005C20D4" w:rsidP="005C20D4">
      <w:pPr>
        <w:numPr>
          <w:ilvl w:val="0"/>
          <w:numId w:val="8"/>
        </w:numPr>
        <w:spacing w:before="100" w:beforeAutospacing="1" w:after="120"/>
        <w:rPr>
          <w:rFonts w:eastAsia="Times New Roman" w:cs="Arial"/>
          <w:color w:val="000000" w:themeColor="text1"/>
          <w:sz w:val="22"/>
          <w:szCs w:val="22"/>
          <w:lang w:val="en-US"/>
        </w:rPr>
      </w:pPr>
      <w:r w:rsidRPr="005C20D4">
        <w:rPr>
          <w:rFonts w:eastAsia="Times New Roman" w:cs="Arial"/>
          <w:color w:val="000000" w:themeColor="text1"/>
          <w:sz w:val="22"/>
          <w:szCs w:val="22"/>
          <w:lang w:val="en-US"/>
        </w:rPr>
        <w:t>Organizational structure</w:t>
      </w:r>
    </w:p>
    <w:p w:rsidR="005C20D4" w:rsidRPr="005C20D4" w:rsidRDefault="005C20D4" w:rsidP="005C20D4">
      <w:pPr>
        <w:numPr>
          <w:ilvl w:val="0"/>
          <w:numId w:val="8"/>
        </w:numPr>
        <w:spacing w:before="100" w:beforeAutospacing="1" w:after="120"/>
        <w:rPr>
          <w:rFonts w:eastAsia="Times New Roman" w:cs="Arial"/>
          <w:color w:val="000000" w:themeColor="text1"/>
          <w:sz w:val="22"/>
          <w:szCs w:val="22"/>
          <w:lang w:val="en-US"/>
        </w:rPr>
      </w:pPr>
      <w:r w:rsidRPr="005C20D4">
        <w:rPr>
          <w:rFonts w:eastAsia="Times New Roman" w:cs="Arial"/>
          <w:color w:val="000000" w:themeColor="text1"/>
          <w:sz w:val="22"/>
          <w:szCs w:val="22"/>
          <w:lang w:val="en-US"/>
        </w:rPr>
        <w:t>Hiring and firing principles</w:t>
      </w:r>
    </w:p>
    <w:p w:rsidR="005C20D4" w:rsidRPr="005C20D4" w:rsidRDefault="005C20D4" w:rsidP="005C20D4">
      <w:pPr>
        <w:numPr>
          <w:ilvl w:val="0"/>
          <w:numId w:val="8"/>
        </w:numPr>
        <w:spacing w:before="100" w:beforeAutospacing="1" w:after="120"/>
        <w:rPr>
          <w:rFonts w:eastAsia="Times New Roman" w:cs="Arial"/>
          <w:color w:val="000000" w:themeColor="text1"/>
          <w:sz w:val="22"/>
          <w:szCs w:val="22"/>
          <w:lang w:val="en-US"/>
        </w:rPr>
      </w:pPr>
      <w:r w:rsidRPr="005C20D4">
        <w:rPr>
          <w:rFonts w:eastAsia="Times New Roman" w:cs="Arial"/>
          <w:color w:val="000000" w:themeColor="text1"/>
          <w:sz w:val="22"/>
          <w:szCs w:val="22"/>
          <w:lang w:val="en-US"/>
        </w:rPr>
        <w:t>Setting revenue-generating objectives</w:t>
      </w:r>
    </w:p>
    <w:p w:rsidR="005C20D4" w:rsidRPr="005C20D4" w:rsidRDefault="005C20D4" w:rsidP="005C20D4">
      <w:pPr>
        <w:numPr>
          <w:ilvl w:val="0"/>
          <w:numId w:val="8"/>
        </w:numPr>
        <w:spacing w:before="100" w:beforeAutospacing="1" w:after="120"/>
        <w:rPr>
          <w:rFonts w:eastAsia="Times New Roman" w:cs="Arial"/>
          <w:color w:val="000000" w:themeColor="text1"/>
          <w:sz w:val="22"/>
          <w:szCs w:val="22"/>
          <w:lang w:val="en-US"/>
        </w:rPr>
      </w:pPr>
      <w:r w:rsidRPr="005C20D4">
        <w:rPr>
          <w:rFonts w:eastAsia="Times New Roman" w:cs="Arial"/>
          <w:color w:val="000000" w:themeColor="text1"/>
          <w:sz w:val="22"/>
          <w:szCs w:val="22"/>
          <w:lang w:val="en-US"/>
        </w:rPr>
        <w:t>Making ROI-based resource estimates</w:t>
      </w:r>
    </w:p>
    <w:p w:rsidR="005C20D4" w:rsidRPr="005C20D4" w:rsidRDefault="005C20D4" w:rsidP="005C20D4">
      <w:pPr>
        <w:numPr>
          <w:ilvl w:val="0"/>
          <w:numId w:val="8"/>
        </w:numPr>
        <w:spacing w:before="100" w:beforeAutospacing="1" w:after="120"/>
        <w:rPr>
          <w:rFonts w:eastAsia="Times New Roman" w:cs="Arial"/>
          <w:color w:val="000000" w:themeColor="text1"/>
          <w:sz w:val="22"/>
          <w:szCs w:val="22"/>
          <w:lang w:val="en-US"/>
        </w:rPr>
      </w:pPr>
      <w:r w:rsidRPr="005C20D4">
        <w:rPr>
          <w:rFonts w:eastAsia="Times New Roman" w:cs="Arial"/>
          <w:color w:val="000000" w:themeColor="text1"/>
          <w:sz w:val="22"/>
          <w:szCs w:val="22"/>
          <w:lang w:val="en-US"/>
        </w:rPr>
        <w:t>Defining KPIs for all key compliance areas: new products, AML, risk management, reporting, outsourcing, funds safeguarding, and governance.</w:t>
      </w:r>
    </w:p>
    <w:p w:rsidR="005C20D4" w:rsidRPr="005C20D4" w:rsidRDefault="005C20D4" w:rsidP="005C20D4">
      <w:pPr>
        <w:spacing w:before="100" w:beforeAutospacing="1" w:after="100" w:afterAutospacing="1"/>
        <w:rPr>
          <w:rFonts w:eastAsia="Times New Roman" w:cs="Arial"/>
          <w:color w:val="000000" w:themeColor="text1"/>
          <w:sz w:val="22"/>
          <w:szCs w:val="22"/>
          <w:lang w:val="en-US"/>
        </w:rPr>
      </w:pPr>
      <w:r w:rsidRPr="005C20D4">
        <w:rPr>
          <w:rFonts w:eastAsia="Times New Roman" w:cs="Arial"/>
          <w:b/>
          <w:bCs/>
          <w:color w:val="000000" w:themeColor="text1"/>
          <w:sz w:val="22"/>
          <w:szCs w:val="22"/>
          <w:lang w:val="en-US"/>
        </w:rPr>
        <w:t>5. Behaviors that keep us stuck</w:t>
      </w:r>
      <w:r w:rsidRPr="005C20D4">
        <w:rPr>
          <w:rFonts w:eastAsia="Times New Roman" w:cs="Arial"/>
          <w:color w:val="000000" w:themeColor="text1"/>
          <w:sz w:val="22"/>
          <w:szCs w:val="22"/>
          <w:lang w:val="en-US"/>
        </w:rPr>
        <w:t>. Everyone who was unable to take an agreed-upon action, feels “behind” or otherwise is unhappy with their progress, will have to assess what is preventing them from taking a different action and will get coaching and feedback on how to make the changes they desire to see.</w:t>
      </w:r>
    </w:p>
    <w:p w:rsidR="005C20D4" w:rsidRPr="005C20D4" w:rsidRDefault="005C20D4" w:rsidP="005C20D4">
      <w:pPr>
        <w:spacing w:before="100" w:beforeAutospacing="1" w:after="100" w:afterAutospacing="1"/>
        <w:rPr>
          <w:rFonts w:eastAsia="Times New Roman" w:cs="Arial"/>
          <w:color w:val="000000" w:themeColor="text1"/>
          <w:sz w:val="22"/>
          <w:szCs w:val="22"/>
          <w:lang w:val="en-US"/>
        </w:rPr>
      </w:pPr>
      <w:r w:rsidRPr="005C20D4">
        <w:rPr>
          <w:rFonts w:eastAsia="Times New Roman" w:cs="Arial"/>
          <w:b/>
          <w:bCs/>
          <w:color w:val="000000" w:themeColor="text1"/>
          <w:sz w:val="22"/>
          <w:szCs w:val="22"/>
          <w:lang w:val="en-US"/>
        </w:rPr>
        <w:t>Final Assignment – where can you take more risks?</w:t>
      </w:r>
      <w:r w:rsidRPr="005C20D4">
        <w:rPr>
          <w:rFonts w:eastAsia="Times New Roman" w:cs="Arial"/>
          <w:color w:val="000000" w:themeColor="text1"/>
          <w:sz w:val="22"/>
          <w:szCs w:val="22"/>
          <w:lang w:val="en-US"/>
        </w:rPr>
        <w:t> The participants will have to identify, prepare, and justify a case study about where their function or company should take more risks.</w:t>
      </w:r>
    </w:p>
    <w:p w:rsidR="00DA2508" w:rsidRPr="004766F7" w:rsidRDefault="00DA2508" w:rsidP="00DA2508">
      <w:pPr>
        <w:shd w:val="clear" w:color="auto" w:fill="FFFFFF"/>
        <w:spacing w:before="100" w:beforeAutospacing="1" w:after="100" w:afterAutospacing="1"/>
        <w:rPr>
          <w:rFonts w:eastAsia="Times New Roman" w:cs="Arial"/>
          <w:color w:val="000000" w:themeColor="text1"/>
          <w:sz w:val="22"/>
          <w:szCs w:val="22"/>
          <w:lang w:val="en-US"/>
        </w:rPr>
      </w:pPr>
    </w:p>
    <w:p w:rsidR="007F1AF9" w:rsidRPr="00DA2508" w:rsidRDefault="007F1AF9">
      <w:pPr>
        <w:rPr>
          <w:color w:val="000000" w:themeColor="text1"/>
        </w:rPr>
      </w:pPr>
    </w:p>
    <w:sectPr w:rsidR="007F1AF9" w:rsidRPr="00DA2508" w:rsidSect="00E36FF2">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B14" w:rsidRDefault="00623B14" w:rsidP="006A1C85">
      <w:r>
        <w:separator/>
      </w:r>
    </w:p>
  </w:endnote>
  <w:endnote w:type="continuationSeparator" w:id="0">
    <w:p w:rsidR="00623B14" w:rsidRDefault="00623B14" w:rsidP="006A1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ora">
    <w:altName w:val="Lora"/>
    <w:panose1 w:val="02000503000000020004"/>
    <w:charset w:val="4D"/>
    <w:family w:val="auto"/>
    <w:pitch w:val="variable"/>
    <w:sig w:usb0="800002A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0414598"/>
      <w:docPartObj>
        <w:docPartGallery w:val="Page Numbers (Bottom of Page)"/>
        <w:docPartUnique/>
      </w:docPartObj>
    </w:sdtPr>
    <w:sdtContent>
      <w:p w:rsidR="00A02F09" w:rsidRDefault="00A02F09" w:rsidP="00D731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02F09" w:rsidRDefault="00A02F09" w:rsidP="00A02F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263534"/>
      <w:docPartObj>
        <w:docPartGallery w:val="Page Numbers (Bottom of Page)"/>
        <w:docPartUnique/>
      </w:docPartObj>
    </w:sdtPr>
    <w:sdtContent>
      <w:p w:rsidR="00A02F09" w:rsidRDefault="00A02F09" w:rsidP="00D731B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02F09" w:rsidRDefault="00A02F09" w:rsidP="00A02F0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B14" w:rsidRDefault="00623B14" w:rsidP="006A1C85">
      <w:r>
        <w:separator/>
      </w:r>
    </w:p>
  </w:footnote>
  <w:footnote w:type="continuationSeparator" w:id="0">
    <w:p w:rsidR="00623B14" w:rsidRDefault="00623B14" w:rsidP="006A1C85">
      <w:r>
        <w:continuationSeparator/>
      </w:r>
    </w:p>
  </w:footnote>
  <w:footnote w:id="1">
    <w:p w:rsidR="006A1C85" w:rsidRPr="00C7505F" w:rsidRDefault="006A1C85" w:rsidP="00C7505F">
      <w:pPr>
        <w:pStyle w:val="FootnoteText"/>
        <w:jc w:val="left"/>
        <w:rPr>
          <w:sz w:val="18"/>
          <w:szCs w:val="18"/>
          <w:lang w:val="en-US"/>
        </w:rPr>
      </w:pPr>
      <w:r w:rsidRPr="00C7505F">
        <w:rPr>
          <w:rStyle w:val="FootnoteReference"/>
          <w:sz w:val="18"/>
          <w:szCs w:val="18"/>
        </w:rPr>
        <w:footnoteRef/>
      </w:r>
      <w:r w:rsidR="00C7505F" w:rsidRPr="00C7505F">
        <w:rPr>
          <w:sz w:val="18"/>
          <w:szCs w:val="18"/>
        </w:rPr>
        <w:t xml:space="preserve"> </w:t>
      </w:r>
      <w:r w:rsidRPr="00C7505F">
        <w:rPr>
          <w:sz w:val="18"/>
          <w:szCs w:val="18"/>
        </w:rPr>
        <w:t>https://cpduk.co.uk/courses/competitive-compliance-fintech-compliance-self-starter-including-fintech-startup-compliance-pro-certification</w:t>
      </w:r>
    </w:p>
  </w:footnote>
  <w:footnote w:id="2">
    <w:p w:rsidR="00C7505F" w:rsidRPr="00C7505F" w:rsidRDefault="00C7505F" w:rsidP="00C7505F">
      <w:pPr>
        <w:pStyle w:val="FootnoteText"/>
        <w:jc w:val="left"/>
        <w:rPr>
          <w:lang w:val="en-US"/>
        </w:rPr>
      </w:pPr>
      <w:r w:rsidRPr="00C7505F">
        <w:rPr>
          <w:rStyle w:val="FootnoteReference"/>
          <w:sz w:val="18"/>
          <w:szCs w:val="18"/>
        </w:rPr>
        <w:footnoteRef/>
      </w:r>
      <w:r w:rsidRPr="00C7505F">
        <w:rPr>
          <w:sz w:val="18"/>
          <w:szCs w:val="18"/>
        </w:rPr>
        <w:t xml:space="preserve"> </w:t>
      </w:r>
      <w:r w:rsidRPr="00C7505F">
        <w:rPr>
          <w:sz w:val="18"/>
          <w:szCs w:val="18"/>
          <w:lang w:val="en-US"/>
        </w:rPr>
        <w:t>www.competitivecompliance.co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4457"/>
    <w:multiLevelType w:val="multilevel"/>
    <w:tmpl w:val="F480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BE5059"/>
    <w:multiLevelType w:val="multilevel"/>
    <w:tmpl w:val="7F869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562A3"/>
    <w:multiLevelType w:val="hybridMultilevel"/>
    <w:tmpl w:val="218E870C"/>
    <w:lvl w:ilvl="0" w:tplc="811EDD6A">
      <w:start w:val="1"/>
      <w:numFmt w:val="bullet"/>
      <w:pStyle w:val="ListParagraph"/>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602A1A"/>
    <w:multiLevelType w:val="multilevel"/>
    <w:tmpl w:val="D7985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744606"/>
    <w:multiLevelType w:val="hybridMultilevel"/>
    <w:tmpl w:val="164A9A72"/>
    <w:lvl w:ilvl="0" w:tplc="9F18ED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7C487D"/>
    <w:multiLevelType w:val="multilevel"/>
    <w:tmpl w:val="67964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35F63D6"/>
    <w:multiLevelType w:val="multilevel"/>
    <w:tmpl w:val="A7F2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A30CF"/>
    <w:multiLevelType w:val="multilevel"/>
    <w:tmpl w:val="8258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2"/>
  </w:num>
  <w:num w:numId="5">
    <w:abstractNumId w:val="6"/>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B05"/>
    <w:rsid w:val="00002834"/>
    <w:rsid w:val="0000749C"/>
    <w:rsid w:val="000132BD"/>
    <w:rsid w:val="000234B8"/>
    <w:rsid w:val="00027544"/>
    <w:rsid w:val="00030EE2"/>
    <w:rsid w:val="00032D89"/>
    <w:rsid w:val="000369EF"/>
    <w:rsid w:val="00073BFA"/>
    <w:rsid w:val="00084BFA"/>
    <w:rsid w:val="00086FEB"/>
    <w:rsid w:val="000977C9"/>
    <w:rsid w:val="000B2F11"/>
    <w:rsid w:val="000B310A"/>
    <w:rsid w:val="000B4BF6"/>
    <w:rsid w:val="000B5DFF"/>
    <w:rsid w:val="000F2DE6"/>
    <w:rsid w:val="000F45A6"/>
    <w:rsid w:val="000F51DD"/>
    <w:rsid w:val="00107882"/>
    <w:rsid w:val="00116532"/>
    <w:rsid w:val="00116A1F"/>
    <w:rsid w:val="00120363"/>
    <w:rsid w:val="00124938"/>
    <w:rsid w:val="00136AE5"/>
    <w:rsid w:val="00151C2C"/>
    <w:rsid w:val="001636DC"/>
    <w:rsid w:val="00164718"/>
    <w:rsid w:val="00164F16"/>
    <w:rsid w:val="00165D18"/>
    <w:rsid w:val="00166D8F"/>
    <w:rsid w:val="001677EE"/>
    <w:rsid w:val="00170710"/>
    <w:rsid w:val="001765E5"/>
    <w:rsid w:val="001829E6"/>
    <w:rsid w:val="00182B53"/>
    <w:rsid w:val="001B3C50"/>
    <w:rsid w:val="001C0C8C"/>
    <w:rsid w:val="001C1555"/>
    <w:rsid w:val="001D6BBD"/>
    <w:rsid w:val="002440B0"/>
    <w:rsid w:val="00244F42"/>
    <w:rsid w:val="00256406"/>
    <w:rsid w:val="0025661B"/>
    <w:rsid w:val="00261CA9"/>
    <w:rsid w:val="00264E0B"/>
    <w:rsid w:val="00273369"/>
    <w:rsid w:val="0028066E"/>
    <w:rsid w:val="002913E4"/>
    <w:rsid w:val="002A6016"/>
    <w:rsid w:val="002B323C"/>
    <w:rsid w:val="00320ED5"/>
    <w:rsid w:val="00336AED"/>
    <w:rsid w:val="00360446"/>
    <w:rsid w:val="00371077"/>
    <w:rsid w:val="00374159"/>
    <w:rsid w:val="00396C5B"/>
    <w:rsid w:val="003C4979"/>
    <w:rsid w:val="003C5BA1"/>
    <w:rsid w:val="003E08E2"/>
    <w:rsid w:val="00401B16"/>
    <w:rsid w:val="004304FD"/>
    <w:rsid w:val="0044652D"/>
    <w:rsid w:val="00460F92"/>
    <w:rsid w:val="00474AC0"/>
    <w:rsid w:val="004766F7"/>
    <w:rsid w:val="00487CB4"/>
    <w:rsid w:val="0049438B"/>
    <w:rsid w:val="004947E0"/>
    <w:rsid w:val="00496BA7"/>
    <w:rsid w:val="00497AC8"/>
    <w:rsid w:val="004C05EC"/>
    <w:rsid w:val="004E79B7"/>
    <w:rsid w:val="004F2F19"/>
    <w:rsid w:val="00506593"/>
    <w:rsid w:val="00521397"/>
    <w:rsid w:val="00527D26"/>
    <w:rsid w:val="005305E4"/>
    <w:rsid w:val="00530A5B"/>
    <w:rsid w:val="00532D70"/>
    <w:rsid w:val="00544288"/>
    <w:rsid w:val="00555958"/>
    <w:rsid w:val="0057281C"/>
    <w:rsid w:val="00597CA3"/>
    <w:rsid w:val="00597F49"/>
    <w:rsid w:val="005A3638"/>
    <w:rsid w:val="005A4F9C"/>
    <w:rsid w:val="005C20D4"/>
    <w:rsid w:val="005D3164"/>
    <w:rsid w:val="005D5069"/>
    <w:rsid w:val="005E3B4E"/>
    <w:rsid w:val="005E73B2"/>
    <w:rsid w:val="006102E2"/>
    <w:rsid w:val="00615B9F"/>
    <w:rsid w:val="00623B14"/>
    <w:rsid w:val="00623E6B"/>
    <w:rsid w:val="0062575B"/>
    <w:rsid w:val="00631258"/>
    <w:rsid w:val="00647D14"/>
    <w:rsid w:val="00653D91"/>
    <w:rsid w:val="00654E61"/>
    <w:rsid w:val="006664A1"/>
    <w:rsid w:val="00666A05"/>
    <w:rsid w:val="0067792F"/>
    <w:rsid w:val="00683FFE"/>
    <w:rsid w:val="006852CE"/>
    <w:rsid w:val="00685A9F"/>
    <w:rsid w:val="00694B10"/>
    <w:rsid w:val="006A1C85"/>
    <w:rsid w:val="006A74C1"/>
    <w:rsid w:val="006A7A04"/>
    <w:rsid w:val="006B063F"/>
    <w:rsid w:val="006C20A0"/>
    <w:rsid w:val="006C2641"/>
    <w:rsid w:val="006C36C7"/>
    <w:rsid w:val="006C7E94"/>
    <w:rsid w:val="006D485E"/>
    <w:rsid w:val="006E7D83"/>
    <w:rsid w:val="006F3ACF"/>
    <w:rsid w:val="006F717E"/>
    <w:rsid w:val="00702A0C"/>
    <w:rsid w:val="007037DC"/>
    <w:rsid w:val="00710C7B"/>
    <w:rsid w:val="0074342E"/>
    <w:rsid w:val="00746551"/>
    <w:rsid w:val="0074700B"/>
    <w:rsid w:val="00766DD1"/>
    <w:rsid w:val="00767A4A"/>
    <w:rsid w:val="00772636"/>
    <w:rsid w:val="0078223B"/>
    <w:rsid w:val="00795437"/>
    <w:rsid w:val="007B35AF"/>
    <w:rsid w:val="007F126E"/>
    <w:rsid w:val="007F1AF9"/>
    <w:rsid w:val="007F41D4"/>
    <w:rsid w:val="007F77EE"/>
    <w:rsid w:val="008254D3"/>
    <w:rsid w:val="00832B43"/>
    <w:rsid w:val="00837C69"/>
    <w:rsid w:val="00865644"/>
    <w:rsid w:val="00867064"/>
    <w:rsid w:val="00872C9F"/>
    <w:rsid w:val="00876AC3"/>
    <w:rsid w:val="00876D6B"/>
    <w:rsid w:val="008A2222"/>
    <w:rsid w:val="008B3D23"/>
    <w:rsid w:val="008C3285"/>
    <w:rsid w:val="008D3DB8"/>
    <w:rsid w:val="008D50A1"/>
    <w:rsid w:val="008E671A"/>
    <w:rsid w:val="00905130"/>
    <w:rsid w:val="00912643"/>
    <w:rsid w:val="0091678E"/>
    <w:rsid w:val="00936BE2"/>
    <w:rsid w:val="0094537F"/>
    <w:rsid w:val="00950E1E"/>
    <w:rsid w:val="00953A76"/>
    <w:rsid w:val="009646EA"/>
    <w:rsid w:val="00982F33"/>
    <w:rsid w:val="00987552"/>
    <w:rsid w:val="009912FE"/>
    <w:rsid w:val="009A3DBE"/>
    <w:rsid w:val="009A43BB"/>
    <w:rsid w:val="009C2EF9"/>
    <w:rsid w:val="009C6A16"/>
    <w:rsid w:val="009D7A9F"/>
    <w:rsid w:val="009F1AF9"/>
    <w:rsid w:val="009F3B14"/>
    <w:rsid w:val="009F520B"/>
    <w:rsid w:val="009F77EE"/>
    <w:rsid w:val="009F7982"/>
    <w:rsid w:val="00A01FA5"/>
    <w:rsid w:val="00A02F09"/>
    <w:rsid w:val="00A167D8"/>
    <w:rsid w:val="00A27ACB"/>
    <w:rsid w:val="00A46002"/>
    <w:rsid w:val="00A726D9"/>
    <w:rsid w:val="00A7340C"/>
    <w:rsid w:val="00A7363E"/>
    <w:rsid w:val="00A7597C"/>
    <w:rsid w:val="00A91664"/>
    <w:rsid w:val="00B04D73"/>
    <w:rsid w:val="00B16605"/>
    <w:rsid w:val="00B20343"/>
    <w:rsid w:val="00B2301F"/>
    <w:rsid w:val="00B23E39"/>
    <w:rsid w:val="00B30B05"/>
    <w:rsid w:val="00B34E1F"/>
    <w:rsid w:val="00B44DD4"/>
    <w:rsid w:val="00B60DAE"/>
    <w:rsid w:val="00B65EB0"/>
    <w:rsid w:val="00B71B58"/>
    <w:rsid w:val="00B750B6"/>
    <w:rsid w:val="00BA257B"/>
    <w:rsid w:val="00BA402A"/>
    <w:rsid w:val="00BC5303"/>
    <w:rsid w:val="00BD24A1"/>
    <w:rsid w:val="00BD3819"/>
    <w:rsid w:val="00BD7A07"/>
    <w:rsid w:val="00BE18D6"/>
    <w:rsid w:val="00BE7BD4"/>
    <w:rsid w:val="00BF1DBC"/>
    <w:rsid w:val="00BF1FA3"/>
    <w:rsid w:val="00BF22CC"/>
    <w:rsid w:val="00C212D7"/>
    <w:rsid w:val="00C24BD9"/>
    <w:rsid w:val="00C25CD2"/>
    <w:rsid w:val="00C25EDB"/>
    <w:rsid w:val="00C261A3"/>
    <w:rsid w:val="00C279B8"/>
    <w:rsid w:val="00C3535F"/>
    <w:rsid w:val="00C362D7"/>
    <w:rsid w:val="00C671DC"/>
    <w:rsid w:val="00C7505F"/>
    <w:rsid w:val="00C85579"/>
    <w:rsid w:val="00C913A5"/>
    <w:rsid w:val="00CA31F8"/>
    <w:rsid w:val="00CA3B21"/>
    <w:rsid w:val="00CC6E63"/>
    <w:rsid w:val="00CE1CEE"/>
    <w:rsid w:val="00CE3ABC"/>
    <w:rsid w:val="00CE5DA8"/>
    <w:rsid w:val="00D0070D"/>
    <w:rsid w:val="00D07635"/>
    <w:rsid w:val="00D11672"/>
    <w:rsid w:val="00D13B22"/>
    <w:rsid w:val="00D16759"/>
    <w:rsid w:val="00D25C2C"/>
    <w:rsid w:val="00D332C8"/>
    <w:rsid w:val="00D440B5"/>
    <w:rsid w:val="00D45426"/>
    <w:rsid w:val="00D5223A"/>
    <w:rsid w:val="00D55BE4"/>
    <w:rsid w:val="00D70F31"/>
    <w:rsid w:val="00D77A7A"/>
    <w:rsid w:val="00D909AC"/>
    <w:rsid w:val="00DA2508"/>
    <w:rsid w:val="00DF26C8"/>
    <w:rsid w:val="00E019C0"/>
    <w:rsid w:val="00E01D7E"/>
    <w:rsid w:val="00E06477"/>
    <w:rsid w:val="00E26255"/>
    <w:rsid w:val="00E36FF2"/>
    <w:rsid w:val="00E426D7"/>
    <w:rsid w:val="00E42776"/>
    <w:rsid w:val="00E64E25"/>
    <w:rsid w:val="00E71297"/>
    <w:rsid w:val="00E85C5A"/>
    <w:rsid w:val="00EA0A6F"/>
    <w:rsid w:val="00EA0B5A"/>
    <w:rsid w:val="00EA2501"/>
    <w:rsid w:val="00EA7C97"/>
    <w:rsid w:val="00EB71E2"/>
    <w:rsid w:val="00EC31D8"/>
    <w:rsid w:val="00ED0784"/>
    <w:rsid w:val="00ED4BA7"/>
    <w:rsid w:val="00ED69BA"/>
    <w:rsid w:val="00ED6E29"/>
    <w:rsid w:val="00EE57F3"/>
    <w:rsid w:val="00EE6AAF"/>
    <w:rsid w:val="00F0170E"/>
    <w:rsid w:val="00F02F7D"/>
    <w:rsid w:val="00F2262F"/>
    <w:rsid w:val="00F2579D"/>
    <w:rsid w:val="00F258D9"/>
    <w:rsid w:val="00F3341E"/>
    <w:rsid w:val="00F33D58"/>
    <w:rsid w:val="00F340A5"/>
    <w:rsid w:val="00F46872"/>
    <w:rsid w:val="00F51CB5"/>
    <w:rsid w:val="00F65840"/>
    <w:rsid w:val="00F72435"/>
    <w:rsid w:val="00F77428"/>
    <w:rsid w:val="00F82B13"/>
    <w:rsid w:val="00F832F6"/>
    <w:rsid w:val="00F86D44"/>
    <w:rsid w:val="00FA59BA"/>
    <w:rsid w:val="00FB09C3"/>
    <w:rsid w:val="00FB39BC"/>
    <w:rsid w:val="00FB6407"/>
    <w:rsid w:val="00FB7773"/>
    <w:rsid w:val="00FC3C7F"/>
    <w:rsid w:val="00FD7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E50D8DF"/>
  <w15:chartTrackingRefBased/>
  <w15:docId w15:val="{73B74BA9-7D5D-0143-9607-D5CA8E476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597C"/>
    <w:pPr>
      <w:jc w:val="both"/>
    </w:pPr>
    <w:rPr>
      <w:rFonts w:ascii="Lora" w:hAnsi="Lora"/>
      <w:lang w:val="en-GB"/>
    </w:rPr>
  </w:style>
  <w:style w:type="paragraph" w:styleId="Heading1">
    <w:name w:val="heading 1"/>
    <w:basedOn w:val="Normal"/>
    <w:next w:val="Normal"/>
    <w:link w:val="Heading1Char"/>
    <w:autoRedefine/>
    <w:uiPriority w:val="9"/>
    <w:qFormat/>
    <w:rsid w:val="00A7597C"/>
    <w:pPr>
      <w:keepNext/>
      <w:keepLines/>
      <w:spacing w:before="240"/>
      <w:jc w:val="left"/>
      <w:outlineLvl w:val="0"/>
    </w:pPr>
    <w:rPr>
      <w:rFonts w:eastAsiaTheme="majorEastAsia" w:cstheme="majorBidi"/>
      <w:b/>
      <w:color w:val="BF8F00" w:themeColor="accent4" w:themeShade="BF"/>
      <w:sz w:val="32"/>
      <w:szCs w:val="32"/>
    </w:rPr>
  </w:style>
  <w:style w:type="paragraph" w:styleId="Heading2">
    <w:name w:val="heading 2"/>
    <w:basedOn w:val="Normal"/>
    <w:next w:val="Normal"/>
    <w:link w:val="Heading2Char"/>
    <w:autoRedefine/>
    <w:uiPriority w:val="9"/>
    <w:semiHidden/>
    <w:unhideWhenUsed/>
    <w:qFormat/>
    <w:rsid w:val="00BC5303"/>
    <w:pPr>
      <w:keepNext/>
      <w:keepLines/>
      <w:spacing w:before="40"/>
      <w:outlineLvl w:val="1"/>
    </w:pPr>
    <w:rPr>
      <w:rFonts w:asciiTheme="majorHAnsi" w:eastAsiaTheme="majorEastAsia" w:hAnsiTheme="majorHAnsi" w:cstheme="majorBidi"/>
      <w:color w:val="BF8F00" w:themeColor="accent4"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autoRedefine/>
    <w:uiPriority w:val="34"/>
    <w:qFormat/>
    <w:rsid w:val="009F7982"/>
    <w:pPr>
      <w:numPr>
        <w:numId w:val="4"/>
      </w:numPr>
      <w:spacing w:before="200" w:after="200"/>
      <w:contextualSpacing/>
      <w:jc w:val="left"/>
      <w:textAlignment w:val="baseline"/>
    </w:pPr>
    <w:rPr>
      <w:lang w:val="de-DE"/>
    </w:rPr>
  </w:style>
  <w:style w:type="character" w:customStyle="1" w:styleId="ListParagraphChar">
    <w:name w:val="List Paragraph Char"/>
    <w:basedOn w:val="DefaultParagraphFont"/>
    <w:link w:val="ListParagraph"/>
    <w:uiPriority w:val="34"/>
    <w:locked/>
    <w:rsid w:val="009F7982"/>
    <w:rPr>
      <w:rFonts w:ascii="Lora" w:hAnsi="Lora"/>
    </w:rPr>
  </w:style>
  <w:style w:type="paragraph" w:styleId="Title">
    <w:name w:val="Title"/>
    <w:basedOn w:val="Normal"/>
    <w:next w:val="Normal"/>
    <w:link w:val="TitleChar"/>
    <w:autoRedefine/>
    <w:uiPriority w:val="10"/>
    <w:qFormat/>
    <w:rsid w:val="00A91664"/>
    <w:pPr>
      <w:contextualSpacing/>
      <w:jc w:val="center"/>
    </w:pPr>
    <w:rPr>
      <w:rFonts w:eastAsiaTheme="majorEastAsia" w:cstheme="majorBidi"/>
      <w:b/>
      <w:color w:val="BF8F00" w:themeColor="accent4" w:themeShade="BF"/>
      <w:spacing w:val="-10"/>
      <w:kern w:val="28"/>
      <w:sz w:val="40"/>
      <w:szCs w:val="56"/>
    </w:rPr>
  </w:style>
  <w:style w:type="character" w:customStyle="1" w:styleId="TitleChar">
    <w:name w:val="Title Char"/>
    <w:basedOn w:val="DefaultParagraphFont"/>
    <w:link w:val="Title"/>
    <w:uiPriority w:val="10"/>
    <w:rsid w:val="00A91664"/>
    <w:rPr>
      <w:rFonts w:ascii="Lora" w:eastAsiaTheme="majorEastAsia" w:hAnsi="Lora" w:cstheme="majorBidi"/>
      <w:b/>
      <w:color w:val="BF8F00" w:themeColor="accent4" w:themeShade="BF"/>
      <w:spacing w:val="-10"/>
      <w:kern w:val="28"/>
      <w:sz w:val="40"/>
      <w:szCs w:val="56"/>
      <w:lang w:val="en-US"/>
    </w:rPr>
  </w:style>
  <w:style w:type="character" w:styleId="IntenseEmphasis">
    <w:name w:val="Intense Emphasis"/>
    <w:basedOn w:val="DefaultParagraphFont"/>
    <w:uiPriority w:val="21"/>
    <w:qFormat/>
    <w:rsid w:val="00BC5303"/>
    <w:rPr>
      <w:rFonts w:ascii="Lora" w:hAnsi="Lora"/>
      <w:i/>
      <w:iCs/>
      <w:color w:val="BF8F00" w:themeColor="accent4" w:themeShade="BF"/>
      <w:sz w:val="24"/>
    </w:rPr>
  </w:style>
  <w:style w:type="character" w:customStyle="1" w:styleId="Heading2Char">
    <w:name w:val="Heading 2 Char"/>
    <w:basedOn w:val="DefaultParagraphFont"/>
    <w:link w:val="Heading2"/>
    <w:uiPriority w:val="9"/>
    <w:semiHidden/>
    <w:rsid w:val="00BC5303"/>
    <w:rPr>
      <w:rFonts w:asciiTheme="majorHAnsi" w:eastAsiaTheme="majorEastAsia" w:hAnsiTheme="majorHAnsi" w:cstheme="majorBidi"/>
      <w:color w:val="BF8F00" w:themeColor="accent4" w:themeShade="BF"/>
      <w:sz w:val="28"/>
      <w:szCs w:val="26"/>
      <w:bdr w:val="nil"/>
      <w:lang w:val="en-US"/>
    </w:rPr>
  </w:style>
  <w:style w:type="character" w:customStyle="1" w:styleId="Heading1Char">
    <w:name w:val="Heading 1 Char"/>
    <w:basedOn w:val="DefaultParagraphFont"/>
    <w:link w:val="Heading1"/>
    <w:uiPriority w:val="9"/>
    <w:rsid w:val="00A7597C"/>
    <w:rPr>
      <w:rFonts w:ascii="Lora" w:eastAsiaTheme="majorEastAsia" w:hAnsi="Lora" w:cstheme="majorBidi"/>
      <w:b/>
      <w:color w:val="BF8F00" w:themeColor="accent4" w:themeShade="BF"/>
      <w:sz w:val="32"/>
      <w:szCs w:val="32"/>
      <w:lang w:val="en-US"/>
    </w:rPr>
  </w:style>
  <w:style w:type="paragraph" w:styleId="NormalWeb">
    <w:name w:val="Normal (Web)"/>
    <w:basedOn w:val="Normal"/>
    <w:uiPriority w:val="99"/>
    <w:semiHidden/>
    <w:unhideWhenUsed/>
    <w:rsid w:val="00B30B05"/>
    <w:pPr>
      <w:spacing w:before="100" w:beforeAutospacing="1" w:after="100" w:afterAutospacing="1"/>
      <w:jc w:val="left"/>
    </w:pPr>
    <w:rPr>
      <w:rFonts w:ascii="Times New Roman" w:eastAsia="Times New Roman" w:hAnsi="Times New Roman" w:cs="Times New Roman"/>
      <w:lang w:val="de-DE"/>
    </w:rPr>
  </w:style>
  <w:style w:type="paragraph" w:styleId="FootnoteText">
    <w:name w:val="footnote text"/>
    <w:basedOn w:val="Normal"/>
    <w:link w:val="FootnoteTextChar"/>
    <w:uiPriority w:val="99"/>
    <w:semiHidden/>
    <w:unhideWhenUsed/>
    <w:rsid w:val="006A1C85"/>
    <w:rPr>
      <w:sz w:val="20"/>
      <w:szCs w:val="20"/>
    </w:rPr>
  </w:style>
  <w:style w:type="character" w:customStyle="1" w:styleId="FootnoteTextChar">
    <w:name w:val="Footnote Text Char"/>
    <w:basedOn w:val="DefaultParagraphFont"/>
    <w:link w:val="FootnoteText"/>
    <w:uiPriority w:val="99"/>
    <w:semiHidden/>
    <w:rsid w:val="006A1C85"/>
    <w:rPr>
      <w:rFonts w:ascii="Lora" w:hAnsi="Lora"/>
      <w:sz w:val="20"/>
      <w:szCs w:val="20"/>
      <w:lang w:val="en-GB"/>
    </w:rPr>
  </w:style>
  <w:style w:type="character" w:styleId="FootnoteReference">
    <w:name w:val="footnote reference"/>
    <w:basedOn w:val="DefaultParagraphFont"/>
    <w:uiPriority w:val="99"/>
    <w:semiHidden/>
    <w:unhideWhenUsed/>
    <w:rsid w:val="006A1C85"/>
    <w:rPr>
      <w:vertAlign w:val="superscript"/>
    </w:rPr>
  </w:style>
  <w:style w:type="character" w:styleId="Strong">
    <w:name w:val="Strong"/>
    <w:basedOn w:val="DefaultParagraphFont"/>
    <w:uiPriority w:val="22"/>
    <w:qFormat/>
    <w:rsid w:val="004766F7"/>
    <w:rPr>
      <w:b/>
      <w:bCs/>
    </w:rPr>
  </w:style>
  <w:style w:type="paragraph" w:styleId="Footer">
    <w:name w:val="footer"/>
    <w:basedOn w:val="Normal"/>
    <w:link w:val="FooterChar"/>
    <w:uiPriority w:val="99"/>
    <w:unhideWhenUsed/>
    <w:rsid w:val="00A02F09"/>
    <w:pPr>
      <w:tabs>
        <w:tab w:val="center" w:pos="4703"/>
        <w:tab w:val="right" w:pos="9406"/>
      </w:tabs>
    </w:pPr>
  </w:style>
  <w:style w:type="character" w:customStyle="1" w:styleId="FooterChar">
    <w:name w:val="Footer Char"/>
    <w:basedOn w:val="DefaultParagraphFont"/>
    <w:link w:val="Footer"/>
    <w:uiPriority w:val="99"/>
    <w:rsid w:val="00A02F09"/>
    <w:rPr>
      <w:rFonts w:ascii="Lora" w:hAnsi="Lora"/>
      <w:lang w:val="en-GB"/>
    </w:rPr>
  </w:style>
  <w:style w:type="character" w:styleId="PageNumber">
    <w:name w:val="page number"/>
    <w:basedOn w:val="DefaultParagraphFont"/>
    <w:uiPriority w:val="99"/>
    <w:semiHidden/>
    <w:unhideWhenUsed/>
    <w:rsid w:val="00A02F09"/>
  </w:style>
  <w:style w:type="paragraph" w:customStyle="1" w:styleId="class">
    <w:name w:val="class="/>
    <w:basedOn w:val="Normal"/>
    <w:rsid w:val="005C20D4"/>
    <w:pPr>
      <w:spacing w:before="100" w:beforeAutospacing="1" w:after="100" w:afterAutospacing="1"/>
      <w:jc w:val="left"/>
    </w:pPr>
    <w:rPr>
      <w:rFonts w:ascii="Times New Roman" w:eastAsia="Times New Roman" w:hAnsi="Times New Roman" w:cs="Times New Roman"/>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21981">
      <w:bodyDiv w:val="1"/>
      <w:marLeft w:val="0"/>
      <w:marRight w:val="0"/>
      <w:marTop w:val="0"/>
      <w:marBottom w:val="0"/>
      <w:divBdr>
        <w:top w:val="none" w:sz="0" w:space="0" w:color="auto"/>
        <w:left w:val="none" w:sz="0" w:space="0" w:color="auto"/>
        <w:bottom w:val="none" w:sz="0" w:space="0" w:color="auto"/>
        <w:right w:val="none" w:sz="0" w:space="0" w:color="auto"/>
      </w:divBdr>
    </w:div>
    <w:div w:id="392855032">
      <w:bodyDiv w:val="1"/>
      <w:marLeft w:val="0"/>
      <w:marRight w:val="0"/>
      <w:marTop w:val="0"/>
      <w:marBottom w:val="0"/>
      <w:divBdr>
        <w:top w:val="none" w:sz="0" w:space="0" w:color="auto"/>
        <w:left w:val="none" w:sz="0" w:space="0" w:color="auto"/>
        <w:bottom w:val="none" w:sz="0" w:space="0" w:color="auto"/>
        <w:right w:val="none" w:sz="0" w:space="0" w:color="auto"/>
      </w:divBdr>
    </w:div>
    <w:div w:id="832796559">
      <w:bodyDiv w:val="1"/>
      <w:marLeft w:val="0"/>
      <w:marRight w:val="0"/>
      <w:marTop w:val="0"/>
      <w:marBottom w:val="0"/>
      <w:divBdr>
        <w:top w:val="none" w:sz="0" w:space="0" w:color="auto"/>
        <w:left w:val="none" w:sz="0" w:space="0" w:color="auto"/>
        <w:bottom w:val="none" w:sz="0" w:space="0" w:color="auto"/>
        <w:right w:val="none" w:sz="0" w:space="0" w:color="auto"/>
      </w:divBdr>
    </w:div>
    <w:div w:id="1361082044">
      <w:bodyDiv w:val="1"/>
      <w:marLeft w:val="0"/>
      <w:marRight w:val="0"/>
      <w:marTop w:val="0"/>
      <w:marBottom w:val="0"/>
      <w:divBdr>
        <w:top w:val="none" w:sz="0" w:space="0" w:color="auto"/>
        <w:left w:val="none" w:sz="0" w:space="0" w:color="auto"/>
        <w:bottom w:val="none" w:sz="0" w:space="0" w:color="auto"/>
        <w:right w:val="none" w:sz="0" w:space="0" w:color="auto"/>
      </w:divBdr>
    </w:div>
    <w:div w:id="1369911561">
      <w:bodyDiv w:val="1"/>
      <w:marLeft w:val="0"/>
      <w:marRight w:val="0"/>
      <w:marTop w:val="0"/>
      <w:marBottom w:val="0"/>
      <w:divBdr>
        <w:top w:val="none" w:sz="0" w:space="0" w:color="auto"/>
        <w:left w:val="none" w:sz="0" w:space="0" w:color="auto"/>
        <w:bottom w:val="none" w:sz="0" w:space="0" w:color="auto"/>
        <w:right w:val="none" w:sz="0" w:space="0" w:color="auto"/>
      </w:divBdr>
      <w:divsChild>
        <w:div w:id="227231497">
          <w:marLeft w:val="0"/>
          <w:marRight w:val="0"/>
          <w:marTop w:val="0"/>
          <w:marBottom w:val="0"/>
          <w:divBdr>
            <w:top w:val="none" w:sz="0" w:space="0" w:color="auto"/>
            <w:left w:val="none" w:sz="0" w:space="0" w:color="auto"/>
            <w:bottom w:val="none" w:sz="0" w:space="0" w:color="auto"/>
            <w:right w:val="none" w:sz="0" w:space="0" w:color="auto"/>
          </w:divBdr>
        </w:div>
      </w:divsChild>
    </w:div>
    <w:div w:id="193285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E02F4-4CCA-234F-AE7A-7FDC2943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Pages>
  <Words>1249</Words>
  <Characters>7120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Afanasieva</dc:creator>
  <cp:keywords/>
  <dc:description/>
  <cp:lastModifiedBy>Yana Afanasieva</cp:lastModifiedBy>
  <cp:revision>13</cp:revision>
  <dcterms:created xsi:type="dcterms:W3CDTF">2024-03-17T12:47:00Z</dcterms:created>
  <dcterms:modified xsi:type="dcterms:W3CDTF">2024-03-17T14:05:00Z</dcterms:modified>
</cp:coreProperties>
</file>